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E45FC93">
      <w:pPr>
        <w:spacing w:after="192"/>
        <w:jc w:val="left"/>
      </w:pPr>
      <w:r>
        <w:rPr>
          <w:rFonts w:hint="eastAsia" w:ascii="微软雅黑" w:hAnsi="微软雅黑" w:eastAsia="微软雅黑" w:cs="微软雅黑"/>
          <w:b/>
          <w:color w:val="1B4E7A"/>
          <w:sz w:val="24"/>
          <w:lang w:eastAsia="zh-CN"/>
        </w:rPr>
        <w:t>商学院总院运营中心</w:t>
      </w:r>
      <w:r>
        <w:rPr>
          <w:rFonts w:ascii="微软雅黑" w:hAnsi="微软雅黑"/>
          <w:b/>
          <w:color w:val="1B4E7A"/>
          <w:sz w:val="24"/>
        </w:rPr>
        <w:t xml:space="preserve"> · </w:t>
      </w:r>
      <w:r>
        <w:rPr>
          <w:rFonts w:hint="eastAsia" w:ascii="微软雅黑" w:hAnsi="微软雅黑" w:eastAsia="微软雅黑" w:cs="微软雅黑"/>
          <w:b/>
          <w:color w:val="1B4E7A"/>
          <w:sz w:val="24"/>
          <w:lang w:eastAsia="zh-CN"/>
        </w:rPr>
        <w:t>筹建实施文件</w:t>
      </w:r>
    </w:p>
    <w:p w14:paraId="04EF63C2">
      <w:pPr>
        <w:pStyle w:val="3"/>
        <w:spacing w:after="260" w:line="324" w:lineRule="auto"/>
        <w:jc w:val="left"/>
      </w:pPr>
      <w:r>
        <w:rPr>
          <w:rFonts w:hint="eastAsia" w:ascii="微软雅黑" w:hAnsi="微软雅黑" w:eastAsia="微软雅黑" w:cs="微软雅黑"/>
          <w:b/>
          <w:color w:val="1B4E7A"/>
          <w:sz w:val="52"/>
          <w:lang w:eastAsia="zh-CN"/>
        </w:rPr>
        <w:t>城市学院筹备实施细则</w:t>
      </w:r>
    </w:p>
    <w:p w14:paraId="496BC86E">
      <w:pPr>
        <w:spacing w:after="276"/>
        <w:jc w:val="left"/>
      </w:pPr>
      <w:r>
        <w:rPr>
          <w:rFonts w:hint="eastAsia" w:cs="微软雅黑"/>
          <w:color w:val="667684"/>
          <w:sz w:val="23"/>
          <w:lang w:eastAsia="zh-CN"/>
        </w:rPr>
        <w:t>城市学院</w:t>
      </w:r>
      <w:r>
        <w:rPr>
          <w:rFonts w:hint="eastAsia" w:ascii="微软雅黑" w:hAnsi="微软雅黑" w:eastAsia="微软雅黑" w:cs="微软雅黑"/>
          <w:color w:val="667684"/>
          <w:sz w:val="23"/>
          <w:lang w:eastAsia="zh-CN"/>
        </w:rPr>
        <w:t>筹建、备案与开业验收的操作性细则</w:t>
      </w:r>
    </w:p>
    <w:p w14:paraId="54620901">
      <w:pPr>
        <w:jc w:val="left"/>
      </w:pPr>
      <w:r>
        <w:rPr>
          <w:rFonts w:hint="eastAsia" w:ascii="微软雅黑" w:hAnsi="微软雅黑" w:eastAsia="微软雅黑" w:cs="微软雅黑"/>
          <w:color w:val="667684"/>
          <w:sz w:val="19"/>
          <w:lang w:eastAsia="zh-CN"/>
        </w:rPr>
        <w:t>版本</w:t>
      </w:r>
      <w:r>
        <w:rPr>
          <w:color w:val="667684"/>
          <w:sz w:val="19"/>
        </w:rPr>
        <w:t xml:space="preserve"> V1.0</w:t>
      </w:r>
      <w:r>
        <w:rPr>
          <w:rFonts w:hint="eastAsia" w:ascii="微软雅黑" w:hAnsi="微软雅黑" w:eastAsia="微软雅黑" w:cs="微软雅黑"/>
          <w:color w:val="667684"/>
          <w:sz w:val="19"/>
          <w:lang w:eastAsia="zh-CN"/>
        </w:rPr>
        <w:t>　｜　适用对象：县区级</w:t>
      </w:r>
      <w:r>
        <w:rPr>
          <w:rFonts w:hint="eastAsia" w:cs="微软雅黑"/>
          <w:color w:val="667684"/>
          <w:sz w:val="19"/>
          <w:lang w:eastAsia="zh-CN"/>
        </w:rPr>
        <w:t>城市学院</w:t>
      </w:r>
      <w:r>
        <w:rPr>
          <w:rFonts w:hint="eastAsia" w:ascii="微软雅黑" w:hAnsi="微软雅黑" w:eastAsia="微软雅黑" w:cs="微软雅黑"/>
          <w:color w:val="667684"/>
          <w:sz w:val="19"/>
          <w:lang w:eastAsia="zh-CN"/>
        </w:rPr>
        <w:t>筹建　｜　依据：《商学院各地</w:t>
      </w:r>
      <w:r>
        <w:rPr>
          <w:rFonts w:hint="eastAsia" w:cs="微软雅黑"/>
          <w:color w:val="667684"/>
          <w:sz w:val="19"/>
          <w:lang w:eastAsia="zh-CN"/>
        </w:rPr>
        <w:t>城市学院</w:t>
      </w:r>
      <w:r>
        <w:rPr>
          <w:rFonts w:hint="eastAsia" w:ascii="微软雅黑" w:hAnsi="微软雅黑" w:eastAsia="微软雅黑" w:cs="微软雅黑"/>
          <w:color w:val="667684"/>
          <w:sz w:val="19"/>
          <w:lang w:eastAsia="zh-CN"/>
        </w:rPr>
        <w:t>落地方案（代理加盟版</w:t>
      </w:r>
      <w:bookmarkStart w:id="31" w:name="_GoBack"/>
      <w:bookmarkEnd w:id="31"/>
      <w:r>
        <w:rPr>
          <w:rFonts w:hint="eastAsia" w:ascii="微软雅黑" w:hAnsi="微软雅黑" w:eastAsia="微软雅黑" w:cs="微软雅黑"/>
          <w:color w:val="667684"/>
          <w:sz w:val="19"/>
          <w:lang w:eastAsia="zh-CN"/>
        </w:rPr>
        <w:t>）》</w:t>
      </w:r>
    </w:p>
    <w:p w14:paraId="7A30B586">
      <w:pPr>
        <w:sectPr>
          <w:pgSz w:w="11906" w:h="16838"/>
          <w:pgMar w:top="1440" w:right="1797" w:bottom="1440" w:left="1797" w:header="720" w:footer="720" w:gutter="0"/>
          <w:cols w:space="720" w:num="1"/>
        </w:sectPr>
      </w:pPr>
    </w:p>
    <w:p w14:paraId="0E3C16E5">
      <w:pPr>
        <w:spacing w:after="115"/>
        <w:jc w:val="left"/>
      </w:pPr>
      <w:r>
        <w:rPr>
          <w:rFonts w:hint="eastAsia" w:ascii="微软雅黑" w:hAnsi="微软雅黑" w:eastAsia="微软雅黑" w:cs="微软雅黑"/>
          <w:b/>
          <w:color w:val="14293B"/>
          <w:sz w:val="23"/>
          <w:lang w:eastAsia="zh-CN"/>
        </w:rPr>
        <w:t>目录</w:t>
      </w:r>
    </w:p>
    <w:p w14:paraId="7079BDD3">
      <w:pPr>
        <w:pStyle w:val="16"/>
        <w:spacing w:after="63"/>
        <w:ind w:firstLine="0"/>
        <w:jc w:val="left"/>
      </w:pPr>
      <w:r>
        <w:rPr>
          <w:rFonts w:hint="eastAsia" w:ascii="微软雅黑" w:hAnsi="微软雅黑" w:eastAsia="微软雅黑" w:cs="微软雅黑"/>
          <w:color w:val="2B2B2B"/>
          <w:sz w:val="21"/>
          <w:lang w:eastAsia="zh-CN"/>
        </w:rPr>
        <w:t>一、总则</w:t>
      </w:r>
    </w:p>
    <w:p w14:paraId="75A51ACA">
      <w:pPr>
        <w:pStyle w:val="16"/>
        <w:spacing w:after="63"/>
        <w:ind w:firstLine="0"/>
        <w:jc w:val="left"/>
      </w:pPr>
      <w:r>
        <w:rPr>
          <w:rFonts w:hint="eastAsia" w:ascii="微软雅黑" w:hAnsi="微软雅黑" w:eastAsia="微软雅黑" w:cs="微软雅黑"/>
          <w:color w:val="2B2B2B"/>
          <w:sz w:val="21"/>
          <w:lang w:eastAsia="zh-CN"/>
        </w:rPr>
        <w:t>二、筹建组织与阶段划分</w:t>
      </w:r>
    </w:p>
    <w:p w14:paraId="36F7FB2B">
      <w:pPr>
        <w:pStyle w:val="16"/>
        <w:spacing w:after="63"/>
        <w:ind w:firstLine="0"/>
        <w:jc w:val="left"/>
      </w:pPr>
      <w:r>
        <w:rPr>
          <w:rFonts w:hint="eastAsia" w:ascii="微软雅黑" w:hAnsi="微软雅黑" w:eastAsia="微软雅黑" w:cs="微软雅黑"/>
          <w:color w:val="2B2B2B"/>
          <w:sz w:val="21"/>
          <w:lang w:eastAsia="zh-CN"/>
        </w:rPr>
        <w:t>三、场地筹备</w:t>
      </w:r>
    </w:p>
    <w:p w14:paraId="5B555055">
      <w:pPr>
        <w:pStyle w:val="16"/>
        <w:spacing w:after="63"/>
        <w:ind w:firstLine="0"/>
        <w:jc w:val="left"/>
      </w:pPr>
      <w:r>
        <w:rPr>
          <w:rFonts w:hint="eastAsia" w:ascii="微软雅黑" w:hAnsi="微软雅黑" w:eastAsia="微软雅黑" w:cs="微软雅黑"/>
          <w:color w:val="2B2B2B"/>
          <w:sz w:val="21"/>
          <w:lang w:eastAsia="zh-CN"/>
        </w:rPr>
        <w:t>四、资质与执照办理</w:t>
      </w:r>
    </w:p>
    <w:p w14:paraId="146FF30A">
      <w:pPr>
        <w:pStyle w:val="16"/>
        <w:spacing w:after="63"/>
        <w:ind w:firstLine="0"/>
        <w:jc w:val="left"/>
      </w:pPr>
      <w:r>
        <w:rPr>
          <w:rFonts w:hint="eastAsia" w:ascii="微软雅黑" w:hAnsi="微软雅黑" w:eastAsia="微软雅黑" w:cs="微软雅黑"/>
          <w:color w:val="2B2B2B"/>
          <w:sz w:val="21"/>
          <w:lang w:eastAsia="zh-CN"/>
        </w:rPr>
        <w:t>五、人员筹备</w:t>
      </w:r>
    </w:p>
    <w:p w14:paraId="0D2F36E0">
      <w:pPr>
        <w:pStyle w:val="16"/>
        <w:spacing w:after="63"/>
        <w:ind w:firstLine="0"/>
        <w:jc w:val="left"/>
      </w:pPr>
      <w:r>
        <w:rPr>
          <w:rFonts w:hint="eastAsia" w:ascii="微软雅黑" w:hAnsi="微软雅黑" w:eastAsia="微软雅黑" w:cs="微软雅黑"/>
          <w:color w:val="2B2B2B"/>
          <w:sz w:val="21"/>
          <w:lang w:eastAsia="zh-CN"/>
        </w:rPr>
        <w:t>六、品牌物料与系统筹备</w:t>
      </w:r>
    </w:p>
    <w:p w14:paraId="5409809E">
      <w:pPr>
        <w:pStyle w:val="16"/>
        <w:spacing w:after="63"/>
        <w:ind w:firstLine="0"/>
        <w:jc w:val="left"/>
      </w:pPr>
      <w:r>
        <w:rPr>
          <w:rFonts w:hint="eastAsia" w:ascii="微软雅黑" w:hAnsi="微软雅黑" w:eastAsia="微软雅黑" w:cs="微软雅黑"/>
          <w:color w:val="2B2B2B"/>
          <w:sz w:val="21"/>
          <w:lang w:eastAsia="zh-CN"/>
        </w:rPr>
        <w:t>七、开业验收：</w:t>
      </w:r>
      <w:r>
        <w:rPr>
          <w:color w:val="2B2B2B"/>
          <w:sz w:val="21"/>
        </w:rPr>
        <w:t>"</w:t>
      </w:r>
      <w:r>
        <w:rPr>
          <w:rFonts w:hint="eastAsia" w:ascii="微软雅黑" w:hAnsi="微软雅黑" w:eastAsia="微软雅黑" w:cs="微软雅黑"/>
          <w:color w:val="2B2B2B"/>
          <w:sz w:val="21"/>
          <w:lang w:eastAsia="zh-CN"/>
        </w:rPr>
        <w:t>五通一备案</w:t>
      </w:r>
      <w:r>
        <w:rPr>
          <w:color w:val="2B2B2B"/>
          <w:sz w:val="21"/>
        </w:rPr>
        <w:t>"</w:t>
      </w:r>
    </w:p>
    <w:p w14:paraId="75475587">
      <w:pPr>
        <w:pStyle w:val="16"/>
        <w:spacing w:after="63"/>
        <w:ind w:firstLine="0"/>
        <w:jc w:val="left"/>
      </w:pPr>
      <w:r>
        <w:rPr>
          <w:rFonts w:hint="eastAsia" w:ascii="微软雅黑" w:hAnsi="微软雅黑" w:eastAsia="微软雅黑" w:cs="微软雅黑"/>
          <w:color w:val="2B2B2B"/>
          <w:sz w:val="21"/>
          <w:lang w:eastAsia="zh-CN"/>
        </w:rPr>
        <w:t>八、开业首月动作</w:t>
      </w:r>
    </w:p>
    <w:p w14:paraId="6A54ED58">
      <w:pPr>
        <w:pStyle w:val="16"/>
        <w:spacing w:after="63"/>
        <w:ind w:firstLine="0"/>
        <w:jc w:val="left"/>
      </w:pPr>
      <w:r>
        <w:rPr>
          <w:rFonts w:hint="eastAsia" w:ascii="微软雅黑" w:hAnsi="微软雅黑" w:eastAsia="微软雅黑" w:cs="微软雅黑"/>
          <w:color w:val="2B2B2B"/>
          <w:sz w:val="21"/>
          <w:lang w:eastAsia="zh-CN"/>
        </w:rPr>
        <w:t>九、附表</w:t>
      </w:r>
    </w:p>
    <w:p w14:paraId="06BA33B2">
      <w:pPr>
        <w:sectPr>
          <w:pgSz w:w="11906" w:h="16838"/>
          <w:pgMar w:top="1440" w:right="1797" w:bottom="1440" w:left="1797" w:header="720" w:footer="720" w:gutter="0"/>
          <w:cols w:space="720" w:num="1"/>
        </w:sectPr>
      </w:pPr>
    </w:p>
    <w:p w14:paraId="660ECAF6">
      <w:pPr>
        <w:jc w:val="left"/>
      </w:pPr>
      <w:r>
        <w:rPr>
          <w:rFonts w:hint="eastAsia" w:ascii="微软雅黑" w:hAnsi="微软雅黑" w:eastAsia="微软雅黑" w:cs="微软雅黑"/>
          <w:b/>
          <w:color w:val="14293B"/>
          <w:sz w:val="26"/>
          <w:lang w:eastAsia="zh-CN"/>
        </w:rPr>
        <w:t>筹建节点速览</w:t>
      </w:r>
    </w:p>
    <w:p w14:paraId="7C7B5151"/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4"/>
        <w:gridCol w:w="2174"/>
        <w:gridCol w:w="2174"/>
        <w:gridCol w:w="2174"/>
      </w:tblGrid>
      <w:tr w14:paraId="6BF9EF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72" w:type="dxa"/>
              <w:left w:w="192" w:type="dxa"/>
              <w:bottom w:w="72" w:type="dxa"/>
              <w:right w:w="192" w:type="dxa"/>
            </w:tcMar>
            <w:vAlign w:val="center"/>
          </w:tcPr>
          <w:p w14:paraId="1796EA52">
            <w:pPr>
              <w:spacing w:before="47" w:after="47" w:line="240" w:lineRule="auto"/>
            </w:pPr>
            <w:r>
              <w:rPr>
                <w:rFonts w:hint="eastAsia" w:ascii="微软雅黑" w:hAnsi="微软雅黑" w:eastAsia="微软雅黑"/>
                <w:b/>
                <w:color w:val="667684"/>
                <w:sz w:val="19"/>
              </w:rPr>
              <w:t>筹建周期</w:t>
            </w:r>
          </w:p>
        </w:tc>
        <w:tc>
          <w:tcPr>
            <w:tcW w:w="216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72" w:type="dxa"/>
              <w:left w:w="192" w:type="dxa"/>
              <w:bottom w:w="72" w:type="dxa"/>
              <w:right w:w="192" w:type="dxa"/>
            </w:tcMar>
            <w:vAlign w:val="center"/>
          </w:tcPr>
          <w:p w14:paraId="35FC67FC">
            <w:pPr>
              <w:spacing w:before="47" w:after="47" w:line="240" w:lineRule="auto"/>
            </w:pPr>
            <w:r>
              <w:rPr>
                <w:rFonts w:hint="eastAsia" w:ascii="微软雅黑" w:hAnsi="微软雅黑" w:eastAsia="微软雅黑"/>
                <w:b/>
                <w:color w:val="667684"/>
                <w:sz w:val="19"/>
              </w:rPr>
              <w:t>场地门槛</w:t>
            </w:r>
          </w:p>
        </w:tc>
        <w:tc>
          <w:tcPr>
            <w:tcW w:w="216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72" w:type="dxa"/>
              <w:left w:w="192" w:type="dxa"/>
              <w:bottom w:w="72" w:type="dxa"/>
              <w:right w:w="192" w:type="dxa"/>
            </w:tcMar>
            <w:vAlign w:val="center"/>
          </w:tcPr>
          <w:p w14:paraId="24078EB9">
            <w:pPr>
              <w:spacing w:before="47" w:after="47" w:line="240" w:lineRule="auto"/>
            </w:pPr>
            <w:r>
              <w:rPr>
                <w:rFonts w:hint="eastAsia" w:ascii="微软雅黑" w:hAnsi="微软雅黑" w:eastAsia="微软雅黑"/>
                <w:b/>
                <w:color w:val="667684"/>
                <w:sz w:val="19"/>
              </w:rPr>
              <w:t>开业验收</w:t>
            </w:r>
          </w:p>
        </w:tc>
        <w:tc>
          <w:tcPr>
            <w:tcW w:w="216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72" w:type="dxa"/>
              <w:left w:w="192" w:type="dxa"/>
              <w:bottom w:w="72" w:type="dxa"/>
              <w:right w:w="192" w:type="dxa"/>
            </w:tcMar>
            <w:vAlign w:val="center"/>
          </w:tcPr>
          <w:p w14:paraId="13C6999C">
            <w:pPr>
              <w:spacing w:before="47" w:after="47" w:line="240" w:lineRule="auto"/>
            </w:pPr>
            <w:r>
              <w:rPr>
                <w:rFonts w:hint="eastAsia" w:ascii="微软雅黑" w:hAnsi="微软雅黑" w:eastAsia="微软雅黑"/>
                <w:b/>
                <w:color w:val="667684"/>
                <w:sz w:val="19"/>
              </w:rPr>
              <w:t>开业首月</w:t>
            </w:r>
          </w:p>
        </w:tc>
      </w:tr>
      <w:tr w14:paraId="75D881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7BA4D30A">
            <w:pPr>
              <w:spacing w:before="47" w:after="47" w:line="240" w:lineRule="auto"/>
              <w:jc w:val="center"/>
            </w:pPr>
            <w:r>
              <w:rPr>
                <w:b/>
                <w:color w:val="667684"/>
                <w:sz w:val="19"/>
              </w:rPr>
              <w:t>30—45 天</w:t>
            </w:r>
            <w:r>
              <w:rPr>
                <w:color w:val="667684"/>
                <w:sz w:val="19"/>
              </w:rPr>
              <w:t xml:space="preserve"> 四阶段推进</w:t>
            </w:r>
          </w:p>
        </w:tc>
        <w:tc>
          <w:tcPr>
            <w:tcW w:w="216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C4ED1BA">
            <w:pPr>
              <w:spacing w:before="47" w:after="47" w:line="240" w:lineRule="auto"/>
              <w:jc w:val="center"/>
            </w:pPr>
            <w:r>
              <w:rPr>
                <w:b/>
                <w:color w:val="667684"/>
                <w:sz w:val="19"/>
              </w:rPr>
              <w:t>≥80㎡</w:t>
            </w:r>
            <w:r>
              <w:rPr>
                <w:color w:val="667684"/>
                <w:sz w:val="19"/>
              </w:rPr>
              <w:t xml:space="preserve"> 含  30  人会议区</w:t>
            </w:r>
          </w:p>
        </w:tc>
        <w:tc>
          <w:tcPr>
            <w:tcW w:w="216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38A2BB56">
            <w:pPr>
              <w:spacing w:before="47" w:after="47" w:line="240" w:lineRule="auto"/>
              <w:jc w:val="center"/>
            </w:pPr>
            <w:r>
              <w:rPr>
                <w:b/>
                <w:color w:val="667684"/>
                <w:sz w:val="19"/>
              </w:rPr>
              <w:t>五通一备案</w:t>
            </w:r>
            <w:r>
              <w:rPr>
                <w:color w:val="667684"/>
                <w:sz w:val="19"/>
              </w:rPr>
              <w:t xml:space="preserve"> 通过方可开业</w:t>
            </w:r>
          </w:p>
        </w:tc>
        <w:tc>
          <w:tcPr>
            <w:tcW w:w="216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FFFFF"/>
            <w:tcMar>
              <w:top w:w="192" w:type="dxa"/>
              <w:left w:w="192" w:type="dxa"/>
              <w:bottom w:w="192" w:type="dxa"/>
              <w:right w:w="192" w:type="dxa"/>
            </w:tcMar>
            <w:vAlign w:val="center"/>
          </w:tcPr>
          <w:p w14:paraId="5787D452">
            <w:pPr>
              <w:spacing w:before="47" w:after="47" w:line="240" w:lineRule="auto"/>
              <w:jc w:val="center"/>
            </w:pPr>
            <w:r>
              <w:rPr>
                <w:b/>
                <w:color w:val="667684"/>
                <w:sz w:val="19"/>
              </w:rPr>
              <w:t>1 场 ≥30 人</w:t>
            </w:r>
            <w:r>
              <w:rPr>
                <w:color w:val="667684"/>
                <w:sz w:val="19"/>
              </w:rPr>
              <w:t xml:space="preserve"> 会议达标</w:t>
            </w:r>
          </w:p>
        </w:tc>
      </w:tr>
    </w:tbl>
    <w:p w14:paraId="1BB82449">
      <w:pPr>
        <w:pStyle w:val="4"/>
        <w:pBdr>
          <w:left w:val="single" w:color="1B4E7A" w:sz="18" w:space="10"/>
        </w:pBdr>
        <w:spacing w:before="576" w:after="224" w:line="324" w:lineRule="auto"/>
        <w:jc w:val="left"/>
      </w:pPr>
      <w:bookmarkStart w:id="0" w:name="section-1"/>
      <w:bookmarkEnd w:id="0"/>
      <w:r>
        <w:rPr>
          <w:rFonts w:hint="eastAsia" w:ascii="微软雅黑" w:hAnsi="微软雅黑" w:eastAsia="微软雅黑" w:cs="微软雅黑"/>
          <w:b/>
          <w:color w:val="14293B"/>
          <w:sz w:val="32"/>
          <w:lang w:eastAsia="zh-CN"/>
        </w:rPr>
        <w:t>一、总则</w:t>
      </w:r>
    </w:p>
    <w:p w14:paraId="0FB62231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本章说明细则的制定依据、适用范围与基本原则，明确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宽进严管、总部备案、属地合规、节点管控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的筹建总要求。</w:t>
      </w:r>
    </w:p>
    <w:p w14:paraId="403AD3AD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F7FB5"/>
          <w:sz w:val="26"/>
          <w:lang w:eastAsia="zh-CN"/>
        </w:rPr>
        <w:t>（一）制定依据与目的</w:t>
      </w:r>
    </w:p>
    <w:p w14:paraId="0BE17C10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为规范</w:t>
      </w:r>
      <w:r>
        <w:rPr>
          <w:rFonts w:hint="eastAsia" w:cs="微软雅黑"/>
          <w:lang w:eastAsia="zh-CN"/>
        </w:rPr>
        <w:t>城市学院</w:t>
      </w:r>
      <w:r>
        <w:rPr>
          <w:rFonts w:hint="eastAsia" w:ascii="微软雅黑" w:hAnsi="微软雅黑" w:eastAsia="微软雅黑" w:cs="微软雅黑"/>
          <w:lang w:eastAsia="zh-CN"/>
        </w:rPr>
        <w:t>筹建工作，确保每一家</w:t>
      </w:r>
      <w:r>
        <w:rPr>
          <w:rFonts w:hint="eastAsia" w:cs="微软雅黑"/>
          <w:lang w:eastAsia="zh-CN"/>
        </w:rPr>
        <w:t>城市学院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带着标准开业、带着弹药开张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，依据《商学院各地</w:t>
      </w:r>
      <w:r>
        <w:rPr>
          <w:rFonts w:hint="eastAsia" w:cs="微软雅黑"/>
          <w:lang w:eastAsia="zh-CN"/>
        </w:rPr>
        <w:t>城市学院</w:t>
      </w:r>
      <w:r>
        <w:rPr>
          <w:rFonts w:hint="eastAsia" w:ascii="微软雅黑" w:hAnsi="微软雅黑" w:eastAsia="微软雅黑" w:cs="微软雅黑"/>
          <w:lang w:eastAsia="zh-CN"/>
        </w:rPr>
        <w:t>落地方案（代理加盟版）》制定本细则。本细则明确</w:t>
      </w:r>
      <w:r>
        <w:rPr>
          <w:rFonts w:hint="eastAsia" w:cs="微软雅黑"/>
          <w:lang w:eastAsia="zh-CN"/>
        </w:rPr>
        <w:t>城市学院</w:t>
      </w:r>
      <w:r>
        <w:rPr>
          <w:rFonts w:hint="eastAsia" w:ascii="微软雅黑" w:hAnsi="微软雅黑" w:eastAsia="微软雅黑" w:cs="微软雅黑"/>
          <w:lang w:eastAsia="zh-CN"/>
        </w:rPr>
        <w:t>从签约到开业验收、再到首月运营各环节的具体操作要求，作为</w:t>
      </w:r>
      <w:r>
        <w:rPr>
          <w:rFonts w:hint="eastAsia" w:cs="微软雅黑"/>
          <w:lang w:eastAsia="zh-CN"/>
        </w:rPr>
        <w:t>城市学院</w:t>
      </w:r>
      <w:r>
        <w:rPr>
          <w:rFonts w:hint="eastAsia" w:ascii="微软雅黑" w:hAnsi="微软雅黑" w:eastAsia="微软雅黑" w:cs="微软雅黑"/>
          <w:lang w:eastAsia="zh-CN"/>
        </w:rPr>
        <w:t>筹建的作业依据与总院验收的判定标准。</w:t>
      </w:r>
    </w:p>
    <w:p w14:paraId="32952326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F7FB5"/>
          <w:sz w:val="26"/>
          <w:lang w:eastAsia="zh-CN"/>
        </w:rPr>
        <w:t>（二）适用范围</w:t>
      </w:r>
    </w:p>
    <w:p w14:paraId="33B05068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本细则适用于所有经授权的县区级</w:t>
      </w:r>
      <w:r>
        <w:rPr>
          <w:rFonts w:hint="eastAsia" w:cs="微软雅黑"/>
          <w:lang w:eastAsia="zh-CN"/>
        </w:rPr>
        <w:t>城市学院</w:t>
      </w:r>
      <w:r>
        <w:rPr>
          <w:rFonts w:hint="eastAsia" w:ascii="微软雅黑" w:hAnsi="微软雅黑" w:eastAsia="微软雅黑" w:cs="微软雅黑"/>
          <w:lang w:eastAsia="zh-CN"/>
        </w:rPr>
        <w:t>筹建。市级</w:t>
      </w:r>
      <w:r>
        <w:rPr>
          <w:rFonts w:hint="eastAsia" w:cs="微软雅黑"/>
          <w:lang w:eastAsia="zh-CN"/>
        </w:rPr>
        <w:t>城市学院</w:t>
      </w:r>
      <w:r>
        <w:rPr>
          <w:rFonts w:hint="eastAsia" w:ascii="微软雅黑" w:hAnsi="微软雅黑" w:eastAsia="微软雅黑" w:cs="微软雅黑"/>
          <w:lang w:eastAsia="zh-CN"/>
        </w:rPr>
        <w:t>在县区级基础上另需满足更高配置要求（场地、师资、编制），由总院另行核定。</w:t>
      </w:r>
    </w:p>
    <w:p w14:paraId="34F898FB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F7FB5"/>
          <w:sz w:val="26"/>
          <w:lang w:eastAsia="zh-CN"/>
        </w:rPr>
        <w:t>（三）基本原则</w:t>
      </w:r>
    </w:p>
    <w:p w14:paraId="5A64E5AE">
      <w:pPr>
        <w:pStyle w:val="14"/>
        <w:numPr>
          <w:ilvl w:val="0"/>
          <w:numId w:val="7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宽进严管</w:t>
      </w:r>
      <w:r>
        <w:rPr>
          <w:rFonts w:hint="eastAsia" w:ascii="微软雅黑" w:hAnsi="微软雅黑" w:eastAsia="微软雅黑" w:cs="微软雅黑"/>
          <w:lang w:eastAsia="zh-CN"/>
        </w:rPr>
        <w:t>：准入放宽，但筹建过程中的标准不降低；</w:t>
      </w:r>
    </w:p>
    <w:p w14:paraId="7FAF295C">
      <w:pPr>
        <w:pStyle w:val="14"/>
        <w:numPr>
          <w:ilvl w:val="0"/>
          <w:numId w:val="7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总部备案</w:t>
      </w:r>
      <w:r>
        <w:rPr>
          <w:rFonts w:hint="eastAsia" w:ascii="微软雅黑" w:hAnsi="微软雅黑" w:eastAsia="微软雅黑" w:cs="微软雅黑"/>
          <w:lang w:eastAsia="zh-CN"/>
        </w:rPr>
        <w:t>：</w:t>
      </w:r>
      <w:r>
        <w:rPr>
          <w:rFonts w:hint="eastAsia" w:cs="微软雅黑"/>
          <w:lang w:eastAsia="zh-CN"/>
        </w:rPr>
        <w:t>城市学院</w:t>
      </w:r>
      <w:r>
        <w:rPr>
          <w:rFonts w:hint="eastAsia" w:ascii="微软雅黑" w:hAnsi="微软雅黑" w:eastAsia="微软雅黑" w:cs="微软雅黑"/>
          <w:lang w:eastAsia="zh-CN"/>
        </w:rPr>
        <w:t>筹建方案须报总院备案后执行；</w:t>
      </w:r>
    </w:p>
    <w:p w14:paraId="68AE7C2C">
      <w:pPr>
        <w:pStyle w:val="14"/>
        <w:numPr>
          <w:ilvl w:val="0"/>
          <w:numId w:val="7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属地合规</w:t>
      </w:r>
      <w:r>
        <w:rPr>
          <w:rFonts w:hint="eastAsia" w:ascii="微软雅黑" w:hAnsi="微软雅黑" w:eastAsia="微软雅黑" w:cs="微软雅黑"/>
          <w:lang w:eastAsia="zh-CN"/>
        </w:rPr>
        <w:t>：筹建须符合属地市场监管、消防、卫生等要求；</w:t>
      </w:r>
    </w:p>
    <w:p w14:paraId="64ADBCDC">
      <w:pPr>
        <w:pStyle w:val="14"/>
        <w:numPr>
          <w:ilvl w:val="0"/>
          <w:numId w:val="7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节点管控</w:t>
      </w:r>
      <w:r>
        <w:rPr>
          <w:rFonts w:hint="eastAsia" w:ascii="微软雅黑" w:hAnsi="微软雅黑" w:eastAsia="微软雅黑" w:cs="微软雅黑"/>
          <w:lang w:eastAsia="zh-CN"/>
        </w:rPr>
        <w:t>：按阶段节点推进，关键节点由总院核验。</w:t>
      </w:r>
    </w:p>
    <w:p w14:paraId="22EACBD0">
      <w:pPr>
        <w:pStyle w:val="4"/>
        <w:pBdr>
          <w:left w:val="single" w:color="1B4E7A" w:sz="18" w:space="10"/>
        </w:pBdr>
        <w:spacing w:before="576" w:after="224" w:line="324" w:lineRule="auto"/>
        <w:jc w:val="left"/>
      </w:pPr>
      <w:bookmarkStart w:id="1" w:name="section-2"/>
      <w:bookmarkEnd w:id="1"/>
      <w:r>
        <w:rPr>
          <w:rFonts w:hint="eastAsia" w:ascii="微软雅黑" w:hAnsi="微软雅黑" w:eastAsia="微软雅黑" w:cs="微软雅黑"/>
          <w:b/>
          <w:color w:val="14293B"/>
          <w:sz w:val="32"/>
          <w:lang w:eastAsia="zh-CN"/>
        </w:rPr>
        <w:t>二、筹建组织与阶段划分</w:t>
      </w:r>
    </w:p>
    <w:p w14:paraId="3EC98570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本章明确筹建小组的角色分工与四阶段时间表，使筹建过程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有人管、有节点、有标志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。</w:t>
      </w:r>
    </w:p>
    <w:p w14:paraId="7EF1934F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F7FB5"/>
          <w:sz w:val="26"/>
          <w:lang w:eastAsia="zh-CN"/>
        </w:rPr>
        <w:t>（一）筹建组织</w:t>
      </w:r>
    </w:p>
    <w:p w14:paraId="10829D0A">
      <w:pPr>
        <w:spacing w:before="0" w:after="168" w:line="408" w:lineRule="auto"/>
        <w:ind w:firstLine="0"/>
        <w:jc w:val="both"/>
      </w:pPr>
      <w:r>
        <w:rPr>
          <w:rFonts w:hint="eastAsia" w:cs="微软雅黑"/>
          <w:lang w:eastAsia="zh-CN"/>
        </w:rPr>
        <w:t>城市学院</w:t>
      </w:r>
      <w:r>
        <w:rPr>
          <w:rFonts w:hint="eastAsia" w:ascii="微软雅黑" w:hAnsi="微软雅黑" w:eastAsia="微软雅黑" w:cs="微软雅黑"/>
          <w:lang w:eastAsia="zh-CN"/>
        </w:rPr>
        <w:t>须成立筹建小组，由</w:t>
      </w:r>
      <w:r>
        <w:rPr>
          <w:rFonts w:hint="eastAsia" w:cs="微软雅黑"/>
          <w:lang w:eastAsia="zh-CN"/>
        </w:rPr>
        <w:t>城市学院</w:t>
      </w:r>
      <w:r>
        <w:rPr>
          <w:rFonts w:hint="eastAsia" w:ascii="微软雅黑" w:hAnsi="微软雅黑" w:eastAsia="微软雅黑" w:cs="微软雅黑"/>
          <w:lang w:eastAsia="zh-CN"/>
        </w:rPr>
        <w:t>院长牵头，明确场地、资质、人员、物料、系统各环节责任人，并与总院对口接口人保持沟通。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4"/>
        <w:gridCol w:w="4324"/>
      </w:tblGrid>
      <w:tr w14:paraId="2C71A6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B27C12C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角色</w:t>
            </w:r>
          </w:p>
        </w:tc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46D6773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责任</w:t>
            </w:r>
          </w:p>
        </w:tc>
      </w:tr>
      <w:tr w14:paraId="44D891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D8D1857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筹建总负责人（院长）</w:t>
            </w:r>
          </w:p>
        </w:tc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456F82C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统筹全程，对筹建结果负责</w:t>
            </w:r>
          </w:p>
        </w:tc>
      </w:tr>
      <w:tr w14:paraId="1C27B35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CA7B01F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场地接口人</w:t>
            </w:r>
          </w:p>
        </w:tc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F528297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选址、签约、装修、布置</w:t>
            </w:r>
          </w:p>
        </w:tc>
      </w:tr>
      <w:tr w14:paraId="33F00A2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43A3AD6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资质接口人</w:t>
            </w:r>
          </w:p>
        </w:tc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30AB1E0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执照、备案、经营范围办理</w:t>
            </w:r>
          </w:p>
        </w:tc>
      </w:tr>
      <w:tr w14:paraId="58FCEB5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DF89971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人员接口人</w:t>
            </w:r>
          </w:p>
        </w:tc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6C385A0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招聘、培训、持证调理师落实</w:t>
            </w:r>
          </w:p>
        </w:tc>
      </w:tr>
      <w:tr w14:paraId="7B1DDD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D721054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系统接口人</w:t>
            </w:r>
          </w:p>
        </w:tc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F93A364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账号开通、系统培训、数据配置</w:t>
            </w:r>
          </w:p>
        </w:tc>
      </w:tr>
    </w:tbl>
    <w:p w14:paraId="302F1388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F7FB5"/>
          <w:sz w:val="26"/>
          <w:lang w:eastAsia="zh-CN"/>
        </w:rPr>
        <w:t>（二）筹建四阶段（30—45 天）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62"/>
        <w:gridCol w:w="2162"/>
        <w:gridCol w:w="2162"/>
        <w:gridCol w:w="2162"/>
      </w:tblGrid>
      <w:tr w14:paraId="4C58046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C5027B5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阶段</w:t>
            </w:r>
          </w:p>
        </w:tc>
        <w:tc>
          <w:tcPr>
            <w:tcW w:w="216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1DDED1E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时间</w:t>
            </w:r>
          </w:p>
        </w:tc>
        <w:tc>
          <w:tcPr>
            <w:tcW w:w="216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F88E87B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主要任务</w:t>
            </w:r>
          </w:p>
        </w:tc>
        <w:tc>
          <w:tcPr>
            <w:tcW w:w="216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DA0B9B2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完成标志</w:t>
            </w:r>
          </w:p>
        </w:tc>
      </w:tr>
      <w:tr w14:paraId="217876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AB81B11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第一阶段：签约与备案</w:t>
            </w:r>
          </w:p>
        </w:tc>
        <w:tc>
          <w:tcPr>
            <w:tcW w:w="216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1F48E6C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D1—D7</w:t>
            </w:r>
          </w:p>
        </w:tc>
        <w:tc>
          <w:tcPr>
            <w:tcW w:w="216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1EC0739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签订加盟协议、提交筹建方案报总院备案</w:t>
            </w:r>
          </w:p>
        </w:tc>
        <w:tc>
          <w:tcPr>
            <w:tcW w:w="216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357B1F6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协议签署、备案通过</w:t>
            </w:r>
          </w:p>
        </w:tc>
      </w:tr>
      <w:tr w14:paraId="16FDA4F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C96FC98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第二阶段：场地与资质</w:t>
            </w:r>
          </w:p>
        </w:tc>
        <w:tc>
          <w:tcPr>
            <w:tcW w:w="216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B68AE0A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D8—D20</w:t>
            </w:r>
          </w:p>
        </w:tc>
        <w:tc>
          <w:tcPr>
            <w:tcW w:w="216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E265DC8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场地确定与布置、执照与经营范围办理</w:t>
            </w:r>
          </w:p>
        </w:tc>
        <w:tc>
          <w:tcPr>
            <w:tcW w:w="216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296B588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场地就绪、证照齐全</w:t>
            </w:r>
          </w:p>
        </w:tc>
      </w:tr>
      <w:tr w14:paraId="345939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08F13B9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第三阶段：人员与导入</w:t>
            </w:r>
          </w:p>
        </w:tc>
        <w:tc>
          <w:tcPr>
            <w:tcW w:w="216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08D4A31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D21—D35</w:t>
            </w:r>
          </w:p>
        </w:tc>
        <w:tc>
          <w:tcPr>
            <w:tcW w:w="216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92E281C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人员到位、系统开通、课程物料导入</w:t>
            </w:r>
          </w:p>
        </w:tc>
        <w:tc>
          <w:tcPr>
            <w:tcW w:w="216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B114EF8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人员达标、系统可用</w:t>
            </w:r>
          </w:p>
        </w:tc>
      </w:tr>
      <w:tr w14:paraId="205A34D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6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52DB625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第四阶段：验收与开业</w:t>
            </w:r>
          </w:p>
        </w:tc>
        <w:tc>
          <w:tcPr>
            <w:tcW w:w="216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6AC1101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D36—D45</w:t>
            </w:r>
          </w:p>
        </w:tc>
        <w:tc>
          <w:tcPr>
            <w:tcW w:w="216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5182893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开业验收、陪跑排期、首场会议筹备</w:t>
            </w:r>
          </w:p>
        </w:tc>
        <w:tc>
          <w:tcPr>
            <w:tcW w:w="216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61D40B2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验收通过、正式开业</w:t>
            </w:r>
          </w:p>
        </w:tc>
      </w:tr>
    </w:tbl>
    <w:p w14:paraId="5A2D51FB">
      <w:pPr>
        <w:pStyle w:val="4"/>
        <w:pBdr>
          <w:left w:val="single" w:color="1B4E7A" w:sz="18" w:space="10"/>
        </w:pBdr>
        <w:spacing w:before="576" w:after="224" w:line="324" w:lineRule="auto"/>
        <w:jc w:val="left"/>
      </w:pPr>
      <w:bookmarkStart w:id="2" w:name="section-3"/>
      <w:bookmarkEnd w:id="2"/>
      <w:r>
        <w:rPr>
          <w:rFonts w:hint="eastAsia" w:ascii="微软雅黑" w:hAnsi="微软雅黑" w:eastAsia="微软雅黑" w:cs="微软雅黑"/>
          <w:b/>
          <w:color w:val="14293B"/>
          <w:sz w:val="32"/>
          <w:lang w:eastAsia="zh-CN"/>
        </w:rPr>
        <w:t>三、场地筹备</w:t>
      </w:r>
    </w:p>
    <w:p w14:paraId="6BE598AF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场地是</w:t>
      </w:r>
      <w:r>
        <w:rPr>
          <w:rFonts w:hint="eastAsia" w:cs="微软雅黑"/>
          <w:lang w:eastAsia="zh-CN"/>
        </w:rPr>
        <w:t>城市学院</w:t>
      </w:r>
      <w:r>
        <w:rPr>
          <w:rFonts w:hint="eastAsia" w:ascii="微软雅黑" w:hAnsi="微软雅黑" w:eastAsia="微软雅黑" w:cs="微软雅黑"/>
          <w:lang w:eastAsia="zh-CN"/>
        </w:rPr>
        <w:t>经营的物理基础。本章给出选址四要素、功能分区与形象布置标准。</w:t>
      </w:r>
    </w:p>
    <w:p w14:paraId="5E46543F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F7FB5"/>
          <w:sz w:val="26"/>
          <w:lang w:eastAsia="zh-CN"/>
        </w:rPr>
        <w:t>（一）选址评估</w:t>
      </w:r>
    </w:p>
    <w:p w14:paraId="7DA3A95A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选址须同时满足以下四项：</w:t>
      </w:r>
    </w:p>
    <w:p w14:paraId="2FD61E64">
      <w:pPr>
        <w:pStyle w:val="14"/>
        <w:numPr>
          <w:ilvl w:val="0"/>
          <w:numId w:val="8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面积达标</w:t>
      </w:r>
      <w:r>
        <w:rPr>
          <w:rFonts w:hint="eastAsia" w:ascii="微软雅黑" w:hAnsi="微软雅黑" w:eastAsia="微软雅黑" w:cs="微软雅黑"/>
          <w:lang w:eastAsia="zh-CN"/>
        </w:rPr>
        <w:t>：实际使用面积</w:t>
      </w:r>
      <w:r>
        <w:t xml:space="preserve"> ≥80㎡</w:t>
      </w:r>
      <w:r>
        <w:rPr>
          <w:rFonts w:hint="eastAsia" w:ascii="微软雅黑" w:hAnsi="微软雅黑" w:eastAsia="微软雅黑" w:cs="微软雅黑"/>
          <w:lang w:eastAsia="zh-CN"/>
        </w:rPr>
        <w:t>，具备可容纳</w:t>
      </w:r>
      <w:r>
        <w:t xml:space="preserve"> 30 </w:t>
      </w:r>
      <w:r>
        <w:rPr>
          <w:rFonts w:hint="eastAsia" w:ascii="微软雅黑" w:hAnsi="微软雅黑" w:eastAsia="微软雅黑" w:cs="微软雅黑"/>
          <w:lang w:eastAsia="zh-CN"/>
        </w:rPr>
        <w:t>人以上会议或教学的区域（可与门店共用）；</w:t>
      </w:r>
    </w:p>
    <w:p w14:paraId="210F5AAF">
      <w:pPr>
        <w:pStyle w:val="14"/>
        <w:numPr>
          <w:ilvl w:val="0"/>
          <w:numId w:val="8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人流与客群</w:t>
      </w:r>
      <w:r>
        <w:rPr>
          <w:rFonts w:hint="eastAsia" w:ascii="微软雅黑" w:hAnsi="微软雅黑" w:eastAsia="微软雅黑" w:cs="微软雅黑"/>
          <w:lang w:eastAsia="zh-CN"/>
        </w:rPr>
        <w:t>：周边社区密集、养生消费人群集中，交通便利、易到达；</w:t>
      </w:r>
    </w:p>
    <w:p w14:paraId="27F8A44A">
      <w:pPr>
        <w:pStyle w:val="14"/>
        <w:numPr>
          <w:ilvl w:val="0"/>
          <w:numId w:val="8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成本可控</w:t>
      </w:r>
      <w:r>
        <w:rPr>
          <w:rFonts w:hint="eastAsia" w:ascii="微软雅黑" w:hAnsi="微软雅黑" w:eastAsia="微软雅黑" w:cs="微软雅黑"/>
          <w:lang w:eastAsia="zh-CN"/>
        </w:rPr>
        <w:t>：租金与经营预期匹配，租赁或使用权期限不少于</w:t>
      </w:r>
      <w:r>
        <w:t xml:space="preserve"> 3 </w:t>
      </w:r>
      <w:r>
        <w:rPr>
          <w:rFonts w:hint="eastAsia" w:ascii="微软雅黑" w:hAnsi="微软雅黑" w:eastAsia="微软雅黑" w:cs="微软雅黑"/>
          <w:lang w:eastAsia="zh-CN"/>
        </w:rPr>
        <w:t>年；</w:t>
      </w:r>
    </w:p>
    <w:p w14:paraId="55589541">
      <w:pPr>
        <w:pStyle w:val="14"/>
        <w:numPr>
          <w:ilvl w:val="0"/>
          <w:numId w:val="8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合规可行</w:t>
      </w:r>
      <w:r>
        <w:rPr>
          <w:rFonts w:hint="eastAsia" w:ascii="微软雅黑" w:hAnsi="微软雅黑" w:eastAsia="微软雅黑" w:cs="微软雅黑"/>
          <w:lang w:eastAsia="zh-CN"/>
        </w:rPr>
        <w:t>：房屋性质与用途可用于养生保健服务经营，符合消防与属地要求。</w:t>
      </w:r>
    </w:p>
    <w:p w14:paraId="74B5FC38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F7FB5"/>
          <w:sz w:val="26"/>
          <w:lang w:eastAsia="zh-CN"/>
        </w:rPr>
        <w:t>（二）功能分区</w:t>
      </w:r>
    </w:p>
    <w:p w14:paraId="4588F18B">
      <w:pPr>
        <w:spacing w:before="0" w:after="168" w:line="408" w:lineRule="auto"/>
        <w:ind w:firstLine="0"/>
        <w:jc w:val="both"/>
      </w:pPr>
      <w:r>
        <w:rPr>
          <w:rFonts w:hint="eastAsia" w:cs="微软雅黑"/>
          <w:lang w:eastAsia="zh-CN"/>
        </w:rPr>
        <w:t>城市学院</w:t>
      </w:r>
      <w:r>
        <w:rPr>
          <w:rFonts w:hint="eastAsia" w:ascii="微软雅黑" w:hAnsi="微软雅黑" w:eastAsia="微软雅黑" w:cs="微软雅黑"/>
          <w:lang w:eastAsia="zh-CN"/>
        </w:rPr>
        <w:t>场地建议划分四个功能区：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2"/>
        <w:gridCol w:w="2883"/>
        <w:gridCol w:w="2883"/>
      </w:tblGrid>
      <w:tr w14:paraId="41F18D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279F743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分区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F3E7B56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功能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15FDDF8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面积建议</w:t>
            </w:r>
          </w:p>
        </w:tc>
      </w:tr>
      <w:tr w14:paraId="35E9D7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FBD3CD5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接待咨询区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F6FEB69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客户接待、咨询、签约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EDF647E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≥15㎡</w:t>
            </w:r>
          </w:p>
        </w:tc>
      </w:tr>
      <w:tr w14:paraId="70CE51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50D3573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教学会议区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0A713AC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30  人会议、培训、体验（可与接待区兼用）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F358324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≥40㎡ （或共用）</w:t>
            </w:r>
          </w:p>
        </w:tc>
      </w:tr>
      <w:tr w14:paraId="40AA3A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6F79D79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体验服务区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620ABE7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调理技术体验与服务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9A0A720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≥15㎡</w:t>
            </w:r>
          </w:p>
        </w:tc>
      </w:tr>
      <w:tr w14:paraId="7ED9CE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4A1DD8A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展示洽谈区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5682E9C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品牌与课程展示、洽谈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FC4DD9E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≥10㎡</w:t>
            </w:r>
          </w:p>
        </w:tc>
      </w:tr>
    </w:tbl>
    <w:p w14:paraId="5F94798A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F7FB5"/>
          <w:sz w:val="26"/>
          <w:lang w:eastAsia="zh-CN"/>
        </w:rPr>
        <w:t>（三）布置与形象标准</w:t>
      </w:r>
    </w:p>
    <w:p w14:paraId="758784C1">
      <w:pPr>
        <w:pStyle w:val="14"/>
        <w:numPr>
          <w:ilvl w:val="0"/>
          <w:numId w:val="9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门头、背景板、易拉宝、桌牌统一使用总院</w:t>
      </w:r>
      <w:r>
        <w:t xml:space="preserve"> VI </w:t>
      </w:r>
      <w:r>
        <w:rPr>
          <w:rFonts w:hint="eastAsia" w:ascii="微软雅黑" w:hAnsi="微软雅黑" w:eastAsia="微软雅黑" w:cs="微软雅黑"/>
          <w:lang w:eastAsia="zh-CN"/>
        </w:rPr>
        <w:t>标准；</w:t>
      </w:r>
    </w:p>
    <w:p w14:paraId="5AC1C454">
      <w:pPr>
        <w:pStyle w:val="14"/>
        <w:numPr>
          <w:ilvl w:val="0"/>
          <w:numId w:val="9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教学会议区须具备投影、音响、白板等基本教学设备；</w:t>
      </w:r>
    </w:p>
    <w:p w14:paraId="15E08027">
      <w:pPr>
        <w:pStyle w:val="14"/>
        <w:numPr>
          <w:ilvl w:val="0"/>
          <w:numId w:val="9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品牌展示区须陈列课程体系、价目表、学员案例、资质证书；</w:t>
      </w:r>
    </w:p>
    <w:p w14:paraId="7B6C10BE">
      <w:pPr>
        <w:pStyle w:val="14"/>
        <w:numPr>
          <w:ilvl w:val="0"/>
          <w:numId w:val="9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布置完成后拍照报总院核对，作为验收依据。</w:t>
      </w:r>
    </w:p>
    <w:p w14:paraId="40155995">
      <w:pPr>
        <w:pStyle w:val="4"/>
        <w:pBdr>
          <w:left w:val="single" w:color="1B4E7A" w:sz="18" w:space="10"/>
        </w:pBdr>
        <w:spacing w:before="576" w:after="224" w:line="324" w:lineRule="auto"/>
        <w:jc w:val="left"/>
      </w:pPr>
      <w:bookmarkStart w:id="3" w:name="section-4"/>
      <w:bookmarkEnd w:id="3"/>
      <w:r>
        <w:rPr>
          <w:rFonts w:hint="eastAsia" w:ascii="微软雅黑" w:hAnsi="微软雅黑" w:eastAsia="微软雅黑" w:cs="微软雅黑"/>
          <w:b/>
          <w:color w:val="14293B"/>
          <w:sz w:val="32"/>
          <w:lang w:eastAsia="zh-CN"/>
        </w:rPr>
        <w:t>四、资质与执照办理</w:t>
      </w:r>
    </w:p>
    <w:p w14:paraId="78C602A5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资质合规是</w:t>
      </w:r>
      <w:r>
        <w:rPr>
          <w:rFonts w:hint="eastAsia" w:cs="微软雅黑"/>
          <w:lang w:eastAsia="zh-CN"/>
        </w:rPr>
        <w:t>城市学院</w:t>
      </w:r>
      <w:r>
        <w:rPr>
          <w:rFonts w:hint="eastAsia" w:ascii="微软雅黑" w:hAnsi="微软雅黑" w:eastAsia="微软雅黑" w:cs="微软雅黑"/>
          <w:lang w:eastAsia="zh-CN"/>
        </w:rPr>
        <w:t>的准入底线。本章明确执照经营范围要求、办理要点与常见问题应对。</w:t>
      </w:r>
    </w:p>
    <w:p w14:paraId="60859C8C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F7FB5"/>
          <w:sz w:val="26"/>
          <w:lang w:eastAsia="zh-CN"/>
        </w:rPr>
        <w:t>（一）核心要求</w:t>
      </w:r>
    </w:p>
    <w:p w14:paraId="6302661B">
      <w:pPr>
        <w:spacing w:before="0" w:after="168" w:line="408" w:lineRule="auto"/>
        <w:ind w:firstLine="0"/>
        <w:jc w:val="both"/>
      </w:pPr>
      <w:r>
        <w:rPr>
          <w:rFonts w:hint="eastAsia" w:cs="微软雅黑"/>
          <w:lang w:eastAsia="zh-CN"/>
        </w:rPr>
        <w:t>城市学院</w:t>
      </w:r>
      <w:r>
        <w:rPr>
          <w:rFonts w:hint="eastAsia" w:ascii="微软雅黑" w:hAnsi="微软雅黑" w:eastAsia="微软雅黑" w:cs="微软雅黑"/>
          <w:lang w:eastAsia="zh-CN"/>
        </w:rPr>
        <w:t>营业执照经营范围须涵盖养生保健服务类相关经营项目，且不得以医疗服务名义经营。</w:t>
      </w:r>
    </w:p>
    <w:p w14:paraId="62087D1C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F7FB5"/>
          <w:sz w:val="26"/>
          <w:lang w:eastAsia="zh-CN"/>
        </w:rPr>
        <w:t>（二）办理要点</w:t>
      </w:r>
    </w:p>
    <w:p w14:paraId="56BEB5EA">
      <w:pPr>
        <w:pStyle w:val="14"/>
        <w:numPr>
          <w:ilvl w:val="0"/>
          <w:numId w:val="10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执照经营范围</w:t>
      </w:r>
      <w:r>
        <w:rPr>
          <w:rFonts w:hint="eastAsia" w:ascii="微软雅黑" w:hAnsi="微软雅黑" w:eastAsia="微软雅黑" w:cs="微软雅黑"/>
          <w:lang w:eastAsia="zh-CN"/>
        </w:rPr>
        <w:t>：确保含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养生保健服务（非医疗）</w:t>
      </w:r>
      <w:r>
        <w:t>""</w:t>
      </w:r>
      <w:r>
        <w:rPr>
          <w:rFonts w:hint="eastAsia" w:ascii="微软雅黑" w:hAnsi="微软雅黑" w:eastAsia="微软雅黑" w:cs="微软雅黑"/>
          <w:lang w:eastAsia="zh-CN"/>
        </w:rPr>
        <w:t>健康咨询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等合规表述；如需变更，按属地流程办理；</w:t>
      </w:r>
    </w:p>
    <w:p w14:paraId="35266517">
      <w:pPr>
        <w:pStyle w:val="14"/>
        <w:numPr>
          <w:ilvl w:val="0"/>
          <w:numId w:val="10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经营主体</w:t>
      </w:r>
      <w:r>
        <w:rPr>
          <w:rFonts w:hint="eastAsia" w:ascii="微软雅黑" w:hAnsi="微软雅黑" w:eastAsia="微软雅黑" w:cs="微软雅黑"/>
          <w:lang w:eastAsia="zh-CN"/>
        </w:rPr>
        <w:t>：以加盟商主体登记，</w:t>
      </w:r>
      <w:r>
        <w:rPr>
          <w:rFonts w:hint="eastAsia" w:cs="微软雅黑"/>
          <w:lang w:eastAsia="zh-CN"/>
        </w:rPr>
        <w:t>城市学院</w:t>
      </w:r>
      <w:r>
        <w:rPr>
          <w:rFonts w:hint="eastAsia" w:ascii="微软雅黑" w:hAnsi="微软雅黑" w:eastAsia="微软雅黑" w:cs="微软雅黑"/>
          <w:lang w:eastAsia="zh-CN"/>
        </w:rPr>
        <w:t>不得使用总院名义注册；</w:t>
      </w:r>
    </w:p>
    <w:p w14:paraId="36ED2A94">
      <w:pPr>
        <w:pStyle w:val="14"/>
        <w:numPr>
          <w:ilvl w:val="0"/>
          <w:numId w:val="10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备案</w:t>
      </w:r>
      <w:r>
        <w:rPr>
          <w:rFonts w:hint="eastAsia" w:ascii="微软雅黑" w:hAnsi="微软雅黑" w:eastAsia="微软雅黑" w:cs="微软雅黑"/>
          <w:lang w:eastAsia="zh-CN"/>
        </w:rPr>
        <w:t>：营业执照、场地证明、持证调理师证书等材料报总院备案；</w:t>
      </w:r>
    </w:p>
    <w:p w14:paraId="3A8574C2">
      <w:pPr>
        <w:pStyle w:val="14"/>
        <w:numPr>
          <w:ilvl w:val="0"/>
          <w:numId w:val="10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合规自查</w:t>
      </w:r>
      <w:r>
        <w:rPr>
          <w:rFonts w:hint="eastAsia" w:ascii="微软雅黑" w:hAnsi="微软雅黑" w:eastAsia="微软雅黑" w:cs="微软雅黑"/>
          <w:lang w:eastAsia="zh-CN"/>
        </w:rPr>
        <w:t>：核对是否存在未结行政处罚、异常经营名录等问题，清理后方可开业。</w:t>
      </w:r>
    </w:p>
    <w:p w14:paraId="5485FBD5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F7FB5"/>
          <w:sz w:val="26"/>
          <w:lang w:eastAsia="zh-CN"/>
        </w:rPr>
        <w:t>（三）常见问题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4"/>
        <w:gridCol w:w="4324"/>
      </w:tblGrid>
      <w:tr w14:paraId="29E8046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FC787AA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问题</w:t>
            </w:r>
          </w:p>
        </w:tc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06B3707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应对</w:t>
            </w:r>
          </w:p>
        </w:tc>
      </w:tr>
      <w:tr w14:paraId="71FBE6E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001CF41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经营范围不含养生保健服务</w:t>
            </w:r>
          </w:p>
        </w:tc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DDC3210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及时向属地市场监管部门申请变更或增项</w:t>
            </w:r>
          </w:p>
        </w:tc>
      </w:tr>
      <w:tr w14:paraId="35DFE79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A30EE40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房屋用途不符</w:t>
            </w:r>
          </w:p>
        </w:tc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B0F23D9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更换场地或按属地要求办理用途变更</w:t>
            </w:r>
          </w:p>
        </w:tc>
      </w:tr>
      <w:tr w14:paraId="56A7B7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A4B945B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涉及医疗边界</w:t>
            </w:r>
          </w:p>
        </w:tc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0366FB5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明确 " 非医疗 " 定位，宣传不涉及诊疗，人员不越界执业</w:t>
            </w:r>
          </w:p>
        </w:tc>
      </w:tr>
    </w:tbl>
    <w:p w14:paraId="2C71464A">
      <w:pPr>
        <w:pStyle w:val="4"/>
        <w:pBdr>
          <w:left w:val="single" w:color="1B4E7A" w:sz="18" w:space="10"/>
        </w:pBdr>
        <w:spacing w:before="576" w:after="224" w:line="324" w:lineRule="auto"/>
        <w:jc w:val="left"/>
      </w:pPr>
      <w:bookmarkStart w:id="4" w:name="section-5"/>
      <w:bookmarkEnd w:id="4"/>
      <w:r>
        <w:rPr>
          <w:rFonts w:hint="eastAsia" w:ascii="微软雅黑" w:hAnsi="微软雅黑" w:eastAsia="微软雅黑" w:cs="微软雅黑"/>
          <w:b/>
          <w:color w:val="14293B"/>
          <w:sz w:val="32"/>
          <w:lang w:eastAsia="zh-CN"/>
        </w:rPr>
        <w:t>五、人员筹备</w:t>
      </w:r>
    </w:p>
    <w:p w14:paraId="6BA6C236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人是</w:t>
      </w:r>
      <w:r>
        <w:rPr>
          <w:rFonts w:hint="eastAsia" w:cs="微软雅黑"/>
          <w:lang w:eastAsia="zh-CN"/>
        </w:rPr>
        <w:t>城市学院</w:t>
      </w:r>
      <w:r>
        <w:rPr>
          <w:rFonts w:hint="eastAsia" w:ascii="微软雅黑" w:hAnsi="微软雅黑" w:eastAsia="微软雅黑" w:cs="微软雅黑"/>
          <w:lang w:eastAsia="zh-CN"/>
        </w:rPr>
        <w:t>能否交付的关键。本章明确人员配置标准、持证调理师落实要求与岗前培训安排。</w:t>
      </w:r>
    </w:p>
    <w:p w14:paraId="48CAAFC9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F7FB5"/>
          <w:sz w:val="26"/>
          <w:lang w:eastAsia="zh-CN"/>
        </w:rPr>
        <w:t>（一）人员配置标准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2"/>
        <w:gridCol w:w="2883"/>
        <w:gridCol w:w="2883"/>
      </w:tblGrid>
      <w:tr w14:paraId="6D0D38D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03A6E42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岗位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C846E0C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数量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824A2F3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要求</w:t>
            </w:r>
          </w:p>
        </w:tc>
      </w:tr>
      <w:tr w14:paraId="724ECF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49992EE">
            <w:pPr>
              <w:spacing w:before="47" w:after="47" w:line="240" w:lineRule="auto"/>
              <w:jc w:val="left"/>
            </w:pPr>
            <w:r>
              <w:rPr>
                <w:rFonts w:hint="eastAsia"/>
                <w:color w:val="2B2B2B"/>
                <w:sz w:val="19"/>
                <w:lang w:eastAsia="zh-CN"/>
              </w:rPr>
              <w:t>城市学院</w:t>
            </w:r>
            <w:r>
              <w:rPr>
                <w:color w:val="2B2B2B"/>
                <w:sz w:val="19"/>
              </w:rPr>
              <w:t>院长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4671B38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1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9FF2299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全面负责，须参与陪跑与会议执行</w:t>
            </w:r>
          </w:p>
        </w:tc>
      </w:tr>
      <w:tr w14:paraId="6685267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8F114D4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持证调理师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8FFF07F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≥1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93D8C0F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持国家认可养生保健类职业技能等级 / 专项能力证书，真实可查（可为院长本人）</w:t>
            </w:r>
          </w:p>
        </w:tc>
      </w:tr>
      <w:tr w14:paraId="451A84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E7C27DD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课程顾问 / 招生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BB82A68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1—2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83819A2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负责招生、邀约、客户维护</w:t>
            </w:r>
          </w:p>
        </w:tc>
      </w:tr>
      <w:tr w14:paraId="73ADA80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158442B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服务 / 调理人员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8040DCD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1—2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5CEBCE9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客户体验服务与转介绍</w:t>
            </w:r>
          </w:p>
        </w:tc>
      </w:tr>
      <w:tr w14:paraId="055594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BA23820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行政 / 后勤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AC4DE53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兼任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1CB773E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物料、档案、数据上报</w:t>
            </w:r>
          </w:p>
        </w:tc>
      </w:tr>
    </w:tbl>
    <w:p w14:paraId="7DF51201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F7FB5"/>
          <w:sz w:val="26"/>
          <w:lang w:eastAsia="zh-CN"/>
        </w:rPr>
        <w:t>（二）持证调理师落实</w:t>
      </w:r>
    </w:p>
    <w:p w14:paraId="4F04BB31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持证调理师是</w:t>
      </w:r>
      <w:r>
        <w:rPr>
          <w:rFonts w:hint="eastAsia" w:cs="微软雅黑"/>
          <w:lang w:eastAsia="zh-CN"/>
        </w:rPr>
        <w:t>城市学院</w:t>
      </w:r>
      <w:r>
        <w:rPr>
          <w:rFonts w:hint="eastAsia" w:ascii="微软雅黑" w:hAnsi="微软雅黑" w:eastAsia="微软雅黑" w:cs="微软雅黑"/>
          <w:lang w:eastAsia="zh-CN"/>
        </w:rPr>
        <w:t>的准入硬条件。若院长本人未持证，须招聘</w:t>
      </w:r>
      <w:r>
        <w:t xml:space="preserve"> 1 </w:t>
      </w:r>
      <w:r>
        <w:rPr>
          <w:rFonts w:hint="eastAsia" w:ascii="微软雅黑" w:hAnsi="微软雅黑" w:eastAsia="微软雅黑" w:cs="微软雅黑"/>
          <w:lang w:eastAsia="zh-CN"/>
        </w:rPr>
        <w:t>名持证调理师；若暂未落实，须在开业前完成，并报总院核验证书真实性。</w:t>
      </w:r>
    </w:p>
    <w:p w14:paraId="421C0BC1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F7FB5"/>
          <w:sz w:val="26"/>
          <w:lang w:eastAsia="zh-CN"/>
        </w:rPr>
        <w:t>（三）人员培训</w:t>
      </w:r>
    </w:p>
    <w:p w14:paraId="386FEA39">
      <w:pPr>
        <w:spacing w:before="0" w:after="168" w:line="408" w:lineRule="auto"/>
        <w:ind w:firstLine="0"/>
        <w:jc w:val="both"/>
      </w:pPr>
      <w:r>
        <w:rPr>
          <w:rFonts w:hint="eastAsia" w:cs="微软雅黑"/>
          <w:lang w:eastAsia="zh-CN"/>
        </w:rPr>
        <w:t>城市学院</w:t>
      </w:r>
      <w:r>
        <w:rPr>
          <w:rFonts w:hint="eastAsia" w:ascii="微软雅黑" w:hAnsi="微软雅黑" w:eastAsia="微软雅黑" w:cs="微软雅黑"/>
          <w:lang w:eastAsia="zh-CN"/>
        </w:rPr>
        <w:t>团队须在开业前完成总院组织的岗前培训（品牌、课程、话术、客户档案、合规），并参加陪跑期间的实操带教。持证调理师以外的服务人员，须在</w:t>
      </w:r>
      <w:r>
        <w:t xml:space="preserve"> 6 </w:t>
      </w:r>
      <w:r>
        <w:rPr>
          <w:rFonts w:hint="eastAsia" w:ascii="微软雅黑" w:hAnsi="微软雅黑" w:eastAsia="微软雅黑" w:cs="微软雅黑"/>
          <w:lang w:eastAsia="zh-CN"/>
        </w:rPr>
        <w:t>个月内取得证书。</w:t>
      </w:r>
    </w:p>
    <w:p w14:paraId="57D61F67">
      <w:pPr>
        <w:pStyle w:val="4"/>
        <w:pBdr>
          <w:left w:val="single" w:color="1B4E7A" w:sz="18" w:space="10"/>
        </w:pBdr>
        <w:spacing w:before="576" w:after="224" w:line="324" w:lineRule="auto"/>
        <w:jc w:val="left"/>
      </w:pPr>
      <w:bookmarkStart w:id="5" w:name="section-6"/>
      <w:bookmarkEnd w:id="5"/>
      <w:r>
        <w:rPr>
          <w:rFonts w:hint="eastAsia" w:ascii="微软雅黑" w:hAnsi="微软雅黑" w:eastAsia="微软雅黑" w:cs="微软雅黑"/>
          <w:b/>
          <w:color w:val="14293B"/>
          <w:sz w:val="32"/>
          <w:lang w:eastAsia="zh-CN"/>
        </w:rPr>
        <w:t>六、品牌物料与系统筹备</w:t>
      </w:r>
    </w:p>
    <w:p w14:paraId="0A34ED95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物料与系统决定</w:t>
      </w:r>
      <w:r>
        <w:rPr>
          <w:rFonts w:hint="eastAsia" w:cs="微软雅黑"/>
          <w:lang w:eastAsia="zh-CN"/>
        </w:rPr>
        <w:t>城市学院</w:t>
      </w:r>
      <w:r>
        <w:rPr>
          <w:rFonts w:hint="eastAsia" w:ascii="微软雅黑" w:hAnsi="微软雅黑" w:eastAsia="微软雅黑" w:cs="微软雅黑"/>
          <w:lang w:eastAsia="zh-CN"/>
        </w:rPr>
        <w:t>能否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开得起、转得动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。本章明确物料清单、系统开通与课程产品导入要求。</w:t>
      </w:r>
    </w:p>
    <w:p w14:paraId="4D403B2C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F7FB5"/>
          <w:sz w:val="26"/>
          <w:lang w:eastAsia="zh-CN"/>
        </w:rPr>
        <w:t>（一）品牌物料清单</w:t>
      </w:r>
    </w:p>
    <w:p w14:paraId="79E9E068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门头与背景板、易拉宝</w:t>
      </w:r>
      <w:r>
        <w:t>/</w:t>
      </w:r>
      <w:r>
        <w:rPr>
          <w:rFonts w:hint="eastAsia" w:ascii="微软雅黑" w:hAnsi="微软雅黑" w:eastAsia="微软雅黑" w:cs="微软雅黑"/>
          <w:lang w:eastAsia="zh-CN"/>
        </w:rPr>
        <w:t>展架、桌牌工牌、课程价目表、加盟政策单页、学员案例手册、报名与签约文件、签到与留资表、客户档案表、伴手礼。</w:t>
      </w:r>
    </w:p>
    <w:p w14:paraId="6CB4A646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F7FB5"/>
          <w:sz w:val="26"/>
          <w:lang w:eastAsia="zh-CN"/>
        </w:rPr>
        <w:t>（二）系统与账号开通</w:t>
      </w:r>
    </w:p>
    <w:p w14:paraId="05C80D01">
      <w:pPr>
        <w:pStyle w:val="14"/>
        <w:numPr>
          <w:ilvl w:val="0"/>
          <w:numId w:val="11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业务系统</w:t>
      </w:r>
      <w:r>
        <w:rPr>
          <w:rFonts w:hint="eastAsia" w:ascii="微软雅黑" w:hAnsi="微软雅黑" w:eastAsia="微软雅黑" w:cs="微软雅黑"/>
          <w:lang w:eastAsia="zh-CN"/>
        </w:rPr>
        <w:t>：开通</w:t>
      </w:r>
      <w:r>
        <w:rPr>
          <w:rFonts w:hint="eastAsia" w:cs="微软雅黑"/>
          <w:lang w:eastAsia="zh-CN"/>
        </w:rPr>
        <w:t>城市学院</w:t>
      </w:r>
      <w:r>
        <w:rPr>
          <w:rFonts w:hint="eastAsia" w:ascii="微软雅黑" w:hAnsi="微软雅黑" w:eastAsia="微软雅黑" w:cs="微软雅黑"/>
          <w:lang w:eastAsia="zh-CN"/>
        </w:rPr>
        <w:t>账号（提货下单、客户录入、数据上报、佣金结算）；</w:t>
      </w:r>
    </w:p>
    <w:p w14:paraId="52B84DBD">
      <w:pPr>
        <w:pStyle w:val="14"/>
        <w:numPr>
          <w:ilvl w:val="0"/>
          <w:numId w:val="11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数据配置</w:t>
      </w:r>
      <w:r>
        <w:rPr>
          <w:rFonts w:hint="eastAsia" w:ascii="微软雅黑" w:hAnsi="微软雅黑" w:eastAsia="微软雅黑" w:cs="微软雅黑"/>
          <w:lang w:eastAsia="zh-CN"/>
        </w:rPr>
        <w:t>：完成</w:t>
      </w:r>
      <w:r>
        <w:rPr>
          <w:rFonts w:hint="eastAsia" w:cs="微软雅黑"/>
          <w:lang w:eastAsia="zh-CN"/>
        </w:rPr>
        <w:t>城市学院</w:t>
      </w:r>
      <w:r>
        <w:rPr>
          <w:rFonts w:hint="eastAsia" w:ascii="微软雅黑" w:hAnsi="微软雅黑" w:eastAsia="微软雅黑" w:cs="微软雅黑"/>
          <w:lang w:eastAsia="zh-CN"/>
        </w:rPr>
        <w:t>名称、区域、联系人、结算信息配置；</w:t>
      </w:r>
    </w:p>
    <w:p w14:paraId="28471C23">
      <w:pPr>
        <w:pStyle w:val="14"/>
        <w:numPr>
          <w:ilvl w:val="0"/>
          <w:numId w:val="11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培训</w:t>
      </w:r>
      <w:r>
        <w:rPr>
          <w:rFonts w:hint="eastAsia" w:ascii="微软雅黑" w:hAnsi="微软雅黑" w:eastAsia="微软雅黑" w:cs="微软雅黑"/>
          <w:lang w:eastAsia="zh-CN"/>
        </w:rPr>
        <w:t>：完成系统操作培训，确保院长与顾问能独立使用；</w:t>
      </w:r>
    </w:p>
    <w:p w14:paraId="0E1480AD">
      <w:pPr>
        <w:pStyle w:val="14"/>
        <w:numPr>
          <w:ilvl w:val="0"/>
          <w:numId w:val="11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b/>
          <w:lang w:eastAsia="zh-CN"/>
        </w:rPr>
        <w:t>线上阵地</w:t>
      </w:r>
      <w:r>
        <w:rPr>
          <w:rFonts w:hint="eastAsia" w:ascii="微软雅黑" w:hAnsi="微软雅黑" w:eastAsia="微软雅黑" w:cs="微软雅黑"/>
          <w:lang w:eastAsia="zh-CN"/>
        </w:rPr>
        <w:t>：开通</w:t>
      </w:r>
      <w:r>
        <w:rPr>
          <w:rFonts w:hint="eastAsia" w:cs="微软雅黑"/>
          <w:lang w:eastAsia="zh-CN"/>
        </w:rPr>
        <w:t>城市学院</w:t>
      </w:r>
      <w:r>
        <w:rPr>
          <w:rFonts w:hint="eastAsia" w:ascii="微软雅黑" w:hAnsi="微软雅黑" w:eastAsia="微软雅黑" w:cs="微软雅黑"/>
          <w:lang w:eastAsia="zh-CN"/>
        </w:rPr>
        <w:t>社群、线上宣传账号（统一命名规范）。</w:t>
      </w:r>
    </w:p>
    <w:p w14:paraId="258DB751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F7FB5"/>
          <w:sz w:val="26"/>
          <w:lang w:eastAsia="zh-CN"/>
        </w:rPr>
        <w:t>（三）课程与产品导入</w:t>
      </w:r>
    </w:p>
    <w:p w14:paraId="3A3791A9">
      <w:pPr>
        <w:pStyle w:val="14"/>
        <w:numPr>
          <w:ilvl w:val="0"/>
          <w:numId w:val="12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完成课程体系与价目配置（引流层</w:t>
      </w:r>
      <w:r>
        <w:t>/</w:t>
      </w:r>
      <w:r>
        <w:rPr>
          <w:rFonts w:hint="eastAsia" w:ascii="微软雅黑" w:hAnsi="微软雅黑" w:eastAsia="微软雅黑" w:cs="微软雅黑"/>
          <w:lang w:eastAsia="zh-CN"/>
        </w:rPr>
        <w:t>转化层</w:t>
      </w:r>
      <w:r>
        <w:t>/</w:t>
      </w:r>
      <w:r>
        <w:rPr>
          <w:rFonts w:hint="eastAsia" w:ascii="微软雅黑" w:hAnsi="微软雅黑" w:eastAsia="微软雅黑" w:cs="微软雅黑"/>
          <w:lang w:eastAsia="zh-CN"/>
        </w:rPr>
        <w:t>利润层</w:t>
      </w:r>
      <w:r>
        <w:t>/</w:t>
      </w:r>
      <w:r>
        <w:rPr>
          <w:rFonts w:hint="eastAsia" w:ascii="微软雅黑" w:hAnsi="微软雅黑" w:eastAsia="微软雅黑" w:cs="微软雅黑"/>
          <w:lang w:eastAsia="zh-CN"/>
        </w:rPr>
        <w:t>战略层）；</w:t>
      </w:r>
    </w:p>
    <w:p w14:paraId="0F24D298">
      <w:pPr>
        <w:pStyle w:val="14"/>
        <w:numPr>
          <w:ilvl w:val="0"/>
          <w:numId w:val="12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确认首批提货品类与数量，完成首期备货；</w:t>
      </w:r>
    </w:p>
    <w:p w14:paraId="1C1D8AA1">
      <w:pPr>
        <w:pStyle w:val="14"/>
        <w:numPr>
          <w:ilvl w:val="0"/>
          <w:numId w:val="12"/>
        </w:numPr>
        <w:spacing w:after="96" w:line="408" w:lineRule="auto"/>
        <w:jc w:val="both"/>
      </w:pPr>
      <w:r>
        <w:rPr>
          <w:rFonts w:hint="eastAsia" w:ascii="微软雅黑" w:hAnsi="微软雅黑" w:eastAsia="微软雅黑" w:cs="微软雅黑"/>
          <w:lang w:eastAsia="zh-CN"/>
        </w:rPr>
        <w:t>领取并熟悉统一课件与实操流程。</w:t>
      </w:r>
    </w:p>
    <w:p w14:paraId="3B45DF0D">
      <w:pPr>
        <w:pStyle w:val="4"/>
        <w:pBdr>
          <w:left w:val="single" w:color="1B4E7A" w:sz="18" w:space="10"/>
        </w:pBdr>
        <w:spacing w:before="576" w:after="224" w:line="324" w:lineRule="auto"/>
        <w:jc w:val="left"/>
      </w:pPr>
      <w:bookmarkStart w:id="6" w:name="section-7"/>
      <w:bookmarkEnd w:id="6"/>
      <w:r>
        <w:rPr>
          <w:rFonts w:hint="eastAsia" w:ascii="微软雅黑" w:hAnsi="微软雅黑" w:eastAsia="微软雅黑" w:cs="微软雅黑"/>
          <w:b/>
          <w:color w:val="14293B"/>
          <w:sz w:val="32"/>
          <w:lang w:eastAsia="zh-CN"/>
        </w:rPr>
        <w:t>七、开业验收："五通一备案"</w:t>
      </w:r>
    </w:p>
    <w:p w14:paraId="42F13115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开业验收是</w:t>
      </w:r>
      <w:r>
        <w:rPr>
          <w:rFonts w:hint="eastAsia" w:cs="微软雅黑"/>
          <w:lang w:eastAsia="zh-CN"/>
        </w:rPr>
        <w:t>城市学院</w:t>
      </w:r>
      <w:r>
        <w:rPr>
          <w:rFonts w:hint="eastAsia" w:ascii="微软雅黑" w:hAnsi="微软雅黑" w:eastAsia="微软雅黑" w:cs="微软雅黑"/>
          <w:lang w:eastAsia="zh-CN"/>
        </w:rPr>
        <w:t>的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最后一道闸门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。本章给出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五通一备案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验收标准与验收方式，未通过项须限期整改后复验。</w:t>
      </w:r>
    </w:p>
    <w:p w14:paraId="1DC4EF76">
      <w:pPr>
        <w:spacing w:before="0" w:after="168" w:line="408" w:lineRule="auto"/>
        <w:ind w:firstLine="0"/>
        <w:jc w:val="both"/>
      </w:pPr>
      <w:r>
        <w:rPr>
          <w:rFonts w:hint="eastAsia" w:cs="微软雅黑"/>
          <w:lang w:eastAsia="zh-CN"/>
        </w:rPr>
        <w:t>城市学院</w:t>
      </w:r>
      <w:r>
        <w:rPr>
          <w:rFonts w:hint="eastAsia" w:ascii="微软雅黑" w:hAnsi="微软雅黑" w:eastAsia="微软雅黑" w:cs="微软雅黑"/>
          <w:lang w:eastAsia="zh-CN"/>
        </w:rPr>
        <w:t>开业前须通过总院验收，标准为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五通一备案</w:t>
      </w:r>
      <w:r>
        <w:t>"</w:t>
      </w:r>
      <w:r>
        <w:rPr>
          <w:rFonts w:hint="eastAsia" w:ascii="微软雅黑" w:hAnsi="微软雅黑" w:eastAsia="微软雅黑" w:cs="微软雅黑"/>
          <w:lang w:eastAsia="zh-CN"/>
        </w:rPr>
        <w:t>：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24"/>
        <w:gridCol w:w="4324"/>
      </w:tblGrid>
      <w:tr w14:paraId="196C3B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A5CEE28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验收项</w:t>
            </w:r>
          </w:p>
        </w:tc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B26BB1B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验收标准</w:t>
            </w:r>
          </w:p>
        </w:tc>
      </w:tr>
      <w:tr w14:paraId="12AF9F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FE433BF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场地通</w:t>
            </w:r>
          </w:p>
        </w:tc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E5D198C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面积  ≥80㎡ 、功能分区到位、布置符合  VI 、可容纳  30  人会议</w:t>
            </w:r>
          </w:p>
        </w:tc>
      </w:tr>
      <w:tr w14:paraId="3401B4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290DFBD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资质通</w:t>
            </w:r>
          </w:p>
        </w:tc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8E4A870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营业执照含养生保健服务类、无未结处罚、材料已备案</w:t>
            </w:r>
          </w:p>
        </w:tc>
      </w:tr>
      <w:tr w14:paraId="0DE5781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ED52980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人员通</w:t>
            </w:r>
          </w:p>
        </w:tc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B15C5B7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至少  1  名持证调理师（真实可查）、岗位编制到位、完成岗前培训</w:t>
            </w:r>
          </w:p>
        </w:tc>
      </w:tr>
      <w:tr w14:paraId="138A22B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3F4724F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系统通</w:t>
            </w:r>
          </w:p>
        </w:tc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6BA395D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业务系统账号开通可用、数据配置完成、人员会操作</w:t>
            </w:r>
          </w:p>
        </w:tc>
      </w:tr>
      <w:tr w14:paraId="19E5F2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5EB5653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物料通</w:t>
            </w:r>
          </w:p>
        </w:tc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0270902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品牌物料、业务物料、表单模板齐备上墙</w:t>
            </w:r>
          </w:p>
        </w:tc>
      </w:tr>
      <w:tr w14:paraId="05F90E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822D948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一备案</w:t>
            </w:r>
          </w:p>
        </w:tc>
        <w:tc>
          <w:tcPr>
            <w:tcW w:w="432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1D154B3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筹建方案与验收材料报总院备案，取得开业许可</w:t>
            </w:r>
          </w:p>
        </w:tc>
      </w:tr>
    </w:tbl>
    <w:p w14:paraId="0E97F3FC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验收方式：</w:t>
      </w:r>
      <w:r>
        <w:rPr>
          <w:rFonts w:hint="eastAsia" w:cs="微软雅黑"/>
          <w:lang w:eastAsia="zh-CN"/>
        </w:rPr>
        <w:t>城市学院</w:t>
      </w:r>
      <w:r>
        <w:rPr>
          <w:rFonts w:hint="eastAsia" w:ascii="微软雅黑" w:hAnsi="微软雅黑" w:eastAsia="微软雅黑" w:cs="微软雅黑"/>
          <w:lang w:eastAsia="zh-CN"/>
        </w:rPr>
        <w:t>自评</w:t>
      </w:r>
      <w:r>
        <w:t xml:space="preserve"> → </w:t>
      </w:r>
      <w:r>
        <w:rPr>
          <w:rFonts w:hint="eastAsia" w:ascii="微软雅黑" w:hAnsi="微软雅黑" w:eastAsia="微软雅黑" w:cs="微软雅黑"/>
          <w:lang w:eastAsia="zh-CN"/>
        </w:rPr>
        <w:t>提交验收材料</w:t>
      </w:r>
      <w:r>
        <w:t xml:space="preserve"> → </w:t>
      </w:r>
      <w:r>
        <w:rPr>
          <w:rFonts w:hint="eastAsia" w:ascii="微软雅黑" w:hAnsi="微软雅黑" w:eastAsia="微软雅黑" w:cs="微软雅黑"/>
          <w:lang w:eastAsia="zh-CN"/>
        </w:rPr>
        <w:t>总院线上</w:t>
      </w:r>
      <w:r>
        <w:t>/</w:t>
      </w:r>
      <w:r>
        <w:rPr>
          <w:rFonts w:hint="eastAsia" w:ascii="微软雅黑" w:hAnsi="微软雅黑" w:eastAsia="微软雅黑" w:cs="微软雅黑"/>
          <w:lang w:eastAsia="zh-CN"/>
        </w:rPr>
        <w:t>现场核验</w:t>
      </w:r>
      <w:r>
        <w:t xml:space="preserve"> → </w:t>
      </w:r>
      <w:r>
        <w:rPr>
          <w:rFonts w:hint="eastAsia" w:ascii="微软雅黑" w:hAnsi="微软雅黑" w:eastAsia="微软雅黑" w:cs="微软雅黑"/>
          <w:lang w:eastAsia="zh-CN"/>
        </w:rPr>
        <w:t>出具验收结论。未通过项须限期整改后复验。</w:t>
      </w:r>
    </w:p>
    <w:p w14:paraId="7B2619FD">
      <w:pPr>
        <w:pStyle w:val="4"/>
        <w:pBdr>
          <w:left w:val="single" w:color="1B4E7A" w:sz="18" w:space="10"/>
        </w:pBdr>
        <w:spacing w:before="576" w:after="224" w:line="324" w:lineRule="auto"/>
        <w:jc w:val="left"/>
      </w:pPr>
      <w:bookmarkStart w:id="7" w:name="section-8"/>
      <w:bookmarkEnd w:id="7"/>
      <w:r>
        <w:rPr>
          <w:rFonts w:hint="eastAsia" w:ascii="微软雅黑" w:hAnsi="微软雅黑" w:eastAsia="微软雅黑" w:cs="微软雅黑"/>
          <w:b/>
          <w:color w:val="14293B"/>
          <w:sz w:val="32"/>
          <w:lang w:eastAsia="zh-CN"/>
        </w:rPr>
        <w:t>八、开业首月动作</w:t>
      </w:r>
    </w:p>
    <w:p w14:paraId="1F9D715A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验收通过只是开始。本章明确陪跑排期、开业首月硬指标与网点发展要求，衔接后续运营。</w:t>
      </w:r>
    </w:p>
    <w:p w14:paraId="59796082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F7FB5"/>
          <w:sz w:val="26"/>
          <w:lang w:eastAsia="zh-CN"/>
        </w:rPr>
        <w:t>（一）陪跑排期</w:t>
      </w:r>
    </w:p>
    <w:p w14:paraId="065CF82E">
      <w:pPr>
        <w:spacing w:before="0" w:after="168" w:line="408" w:lineRule="auto"/>
        <w:ind w:firstLine="0"/>
        <w:jc w:val="both"/>
      </w:pPr>
      <w:r>
        <w:rPr>
          <w:rFonts w:hint="eastAsia" w:cs="微软雅黑"/>
          <w:lang w:eastAsia="zh-CN"/>
        </w:rPr>
        <w:t>城市学院</w:t>
      </w:r>
      <w:r>
        <w:rPr>
          <w:rFonts w:hint="eastAsia" w:ascii="微软雅黑" w:hAnsi="微软雅黑" w:eastAsia="微软雅黑" w:cs="微软雅黑"/>
          <w:lang w:eastAsia="zh-CN"/>
        </w:rPr>
        <w:t>通过验收后，向总院申请</w:t>
      </w:r>
      <w:r>
        <w:t xml:space="preserve"> 7 </w:t>
      </w:r>
      <w:r>
        <w:rPr>
          <w:rFonts w:hint="eastAsia" w:ascii="微软雅黑" w:hAnsi="微软雅黑" w:eastAsia="微软雅黑" w:cs="微软雅黑"/>
          <w:lang w:eastAsia="zh-CN"/>
        </w:rPr>
        <w:t>天驻店陪跑，原则上在挂牌开业前</w:t>
      </w:r>
      <w:r>
        <w:t xml:space="preserve"> 3—5 </w:t>
      </w:r>
      <w:r>
        <w:rPr>
          <w:rFonts w:hint="eastAsia" w:ascii="微软雅黑" w:hAnsi="微软雅黑" w:eastAsia="微软雅黑" w:cs="微软雅黑"/>
          <w:lang w:eastAsia="zh-CN"/>
        </w:rPr>
        <w:t>天进驻，会议安排在陪跑</w:t>
      </w:r>
      <w:r>
        <w:t xml:space="preserve"> D6</w:t>
      </w:r>
      <w:r>
        <w:rPr>
          <w:rFonts w:hint="eastAsia" w:ascii="微软雅黑" w:hAnsi="微软雅黑" w:eastAsia="微软雅黑" w:cs="微软雅黑"/>
          <w:lang w:eastAsia="zh-CN"/>
        </w:rPr>
        <w:t>（详见《</w:t>
      </w:r>
      <w:r>
        <w:t xml:space="preserve">7 </w:t>
      </w:r>
      <w:r>
        <w:rPr>
          <w:rFonts w:hint="eastAsia" w:ascii="微软雅黑" w:hAnsi="微软雅黑" w:eastAsia="微软雅黑" w:cs="微软雅黑"/>
          <w:lang w:eastAsia="zh-CN"/>
        </w:rPr>
        <w:t>天陪跑手册》）。</w:t>
      </w:r>
    </w:p>
    <w:p w14:paraId="437FDADC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F7FB5"/>
          <w:sz w:val="26"/>
          <w:lang w:eastAsia="zh-CN"/>
        </w:rPr>
        <w:t>（二）开业首月硬指标</w:t>
      </w:r>
    </w:p>
    <w:p w14:paraId="2972B542">
      <w:pPr>
        <w:spacing w:before="0" w:after="168" w:line="408" w:lineRule="auto"/>
        <w:ind w:firstLine="0"/>
        <w:jc w:val="both"/>
      </w:pPr>
      <w:r>
        <w:rPr>
          <w:rFonts w:hint="eastAsia" w:cs="微软雅黑"/>
          <w:lang w:eastAsia="zh-CN"/>
        </w:rPr>
        <w:t>城市学院</w:t>
      </w:r>
      <w:r>
        <w:rPr>
          <w:rFonts w:hint="eastAsia" w:ascii="微软雅黑" w:hAnsi="微软雅黑" w:eastAsia="微软雅黑" w:cs="微软雅黑"/>
          <w:lang w:eastAsia="zh-CN"/>
        </w:rPr>
        <w:t>挂牌开业后</w:t>
      </w:r>
      <w:r>
        <w:t xml:space="preserve"> 30 </w:t>
      </w:r>
      <w:r>
        <w:rPr>
          <w:rFonts w:hint="eastAsia" w:ascii="微软雅黑" w:hAnsi="微软雅黑" w:eastAsia="微软雅黑" w:cs="微软雅黑"/>
          <w:lang w:eastAsia="zh-CN"/>
        </w:rPr>
        <w:t>个自然日内，须完成至少一场</w:t>
      </w:r>
      <w:r>
        <w:t xml:space="preserve"> 30 </w:t>
      </w:r>
      <w:r>
        <w:rPr>
          <w:rFonts w:hint="eastAsia" w:ascii="微软雅黑" w:hAnsi="微软雅黑" w:eastAsia="微软雅黑" w:cs="微软雅黑"/>
          <w:lang w:eastAsia="zh-CN"/>
        </w:rPr>
        <w:t>人以上到会的会议（签到留痕为准），用于招收学员与发展次一级网点（详见《</w:t>
      </w:r>
      <w:r>
        <w:t xml:space="preserve">30 </w:t>
      </w:r>
      <w:r>
        <w:rPr>
          <w:rFonts w:hint="eastAsia" w:ascii="微软雅黑" w:hAnsi="微软雅黑" w:eastAsia="微软雅黑" w:cs="微软雅黑"/>
          <w:lang w:eastAsia="zh-CN"/>
        </w:rPr>
        <w:t>人会议</w:t>
      </w:r>
      <w:r>
        <w:t xml:space="preserve"> SOP </w:t>
      </w:r>
      <w:r>
        <w:rPr>
          <w:rFonts w:hint="eastAsia" w:ascii="微软雅黑" w:hAnsi="微软雅黑" w:eastAsia="微软雅黑" w:cs="微软雅黑"/>
          <w:lang w:eastAsia="zh-CN"/>
        </w:rPr>
        <w:t>手册》）。达标判定与未达标处理按</w:t>
      </w:r>
      <w:r>
        <w:t xml:space="preserve"> SOP </w:t>
      </w:r>
      <w:r>
        <w:rPr>
          <w:rFonts w:hint="eastAsia" w:ascii="微软雅黑" w:hAnsi="微软雅黑" w:eastAsia="微软雅黑" w:cs="微软雅黑"/>
          <w:lang w:eastAsia="zh-CN"/>
        </w:rPr>
        <w:t>执行。</w:t>
      </w:r>
    </w:p>
    <w:p w14:paraId="26BD4524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F7FB5"/>
          <w:sz w:val="26"/>
          <w:lang w:eastAsia="zh-CN"/>
        </w:rPr>
        <w:t>（三）网点发展</w:t>
      </w:r>
    </w:p>
    <w:p w14:paraId="1DDC714B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开业首季度，</w:t>
      </w:r>
      <w:r>
        <w:rPr>
          <w:rFonts w:hint="eastAsia" w:cs="微软雅黑"/>
          <w:lang w:eastAsia="zh-CN"/>
        </w:rPr>
        <w:t>城市学院</w:t>
      </w:r>
      <w:r>
        <w:rPr>
          <w:rFonts w:hint="eastAsia" w:ascii="微软雅黑" w:hAnsi="微软雅黑" w:eastAsia="微软雅黑" w:cs="微软雅黑"/>
          <w:lang w:eastAsia="zh-CN"/>
        </w:rPr>
        <w:t>应至少发展</w:t>
      </w:r>
      <w:r>
        <w:t xml:space="preserve"> 3 </w:t>
      </w:r>
      <w:r>
        <w:rPr>
          <w:rFonts w:hint="eastAsia" w:ascii="微软雅黑" w:hAnsi="微软雅黑" w:eastAsia="微软雅黑" w:cs="微软雅黑"/>
          <w:lang w:eastAsia="zh-CN"/>
        </w:rPr>
        <w:t>个次一级网点（详见《网点开设手册》）。</w:t>
      </w:r>
    </w:p>
    <w:p w14:paraId="4C5B9A28">
      <w:pPr>
        <w:pStyle w:val="4"/>
        <w:pBdr>
          <w:left w:val="single" w:color="1B4E7A" w:sz="18" w:space="10"/>
        </w:pBdr>
        <w:spacing w:before="576" w:after="224" w:line="324" w:lineRule="auto"/>
        <w:jc w:val="left"/>
      </w:pPr>
      <w:bookmarkStart w:id="8" w:name="section-9"/>
      <w:bookmarkEnd w:id="8"/>
      <w:r>
        <w:rPr>
          <w:rFonts w:hint="eastAsia" w:ascii="微软雅黑" w:hAnsi="微软雅黑" w:eastAsia="微软雅黑" w:cs="微软雅黑"/>
          <w:b/>
          <w:color w:val="14293B"/>
          <w:sz w:val="32"/>
          <w:lang w:eastAsia="zh-CN"/>
        </w:rPr>
        <w:t>九、附表</w:t>
      </w:r>
    </w:p>
    <w:p w14:paraId="7265501B">
      <w:pPr>
        <w:spacing w:before="0" w:after="168" w:line="408" w:lineRule="auto"/>
        <w:ind w:firstLine="0"/>
        <w:jc w:val="both"/>
      </w:pPr>
      <w:r>
        <w:rPr>
          <w:rFonts w:hint="eastAsia" w:ascii="微软雅黑" w:hAnsi="微软雅黑" w:eastAsia="微软雅黑" w:cs="微软雅黑"/>
          <w:lang w:eastAsia="zh-CN"/>
        </w:rPr>
        <w:t>本章提供筹建进度对照表与开业验收清单两张工具表，供</w:t>
      </w:r>
      <w:r>
        <w:rPr>
          <w:rFonts w:hint="eastAsia" w:cs="微软雅黑"/>
          <w:lang w:eastAsia="zh-CN"/>
        </w:rPr>
        <w:t>城市学院</w:t>
      </w:r>
      <w:r>
        <w:rPr>
          <w:rFonts w:hint="eastAsia" w:ascii="微软雅黑" w:hAnsi="微软雅黑" w:eastAsia="微软雅黑" w:cs="微软雅黑"/>
          <w:lang w:eastAsia="zh-CN"/>
        </w:rPr>
        <w:t>筹建过程中逐项打钩、总院验收时逐项核对。</w:t>
      </w:r>
    </w:p>
    <w:p w14:paraId="4BDF697D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F7FB5"/>
          <w:sz w:val="26"/>
          <w:lang w:eastAsia="zh-CN"/>
        </w:rPr>
        <w:t>（一）筹建进度对照表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41"/>
        <w:gridCol w:w="1441"/>
        <w:gridCol w:w="1441"/>
        <w:gridCol w:w="1441"/>
        <w:gridCol w:w="1442"/>
        <w:gridCol w:w="1442"/>
      </w:tblGrid>
      <w:tr w14:paraId="73AA6A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9FE34B5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序号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351994D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任务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3E5A186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责任角色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CCC1EEB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计划完成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63FD4F7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实际完成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35D094D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状态</w:t>
            </w:r>
          </w:p>
        </w:tc>
      </w:tr>
      <w:tr w14:paraId="5880B6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BF09D51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1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5AD7EA5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签订加盟协议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11BFC78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院长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C71D6DC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D7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DB6BD70">
            <w:pPr>
              <w:spacing w:before="47" w:after="47" w:line="240" w:lineRule="auto"/>
              <w:jc w:val="left"/>
            </w:pPr>
            <w:bookmarkStart w:id="9" w:name="D7_01"/>
            <w:r>
              <w:rPr>
                <w:color w:val="2B2B2B"/>
                <w:sz w:val="19"/>
              </w:rPr>
              <w:t> </w:t>
            </w:r>
            <w:bookmarkEnd w:id="9"/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F143968">
            <w:pPr>
              <w:spacing w:before="47" w:after="47" w:line="240" w:lineRule="auto"/>
              <w:jc w:val="left"/>
            </w:pPr>
            <w:bookmarkStart w:id="10" w:name="__DOCXFIELD_163698c209af4df69ea060396fc4075e___01"/>
            <w:r>
              <w:rPr>
                <w:color w:val="2B2B2B"/>
                <w:sz w:val="19"/>
              </w:rPr>
              <w:t> </w:t>
            </w:r>
            <w:bookmarkEnd w:id="10"/>
          </w:p>
        </w:tc>
      </w:tr>
      <w:tr w14:paraId="542F33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A4A4A63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2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B1015C2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提交筹建方案备案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B05822C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院长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ECCAF5B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D7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6D9B066">
            <w:pPr>
              <w:spacing w:before="47" w:after="47" w:line="240" w:lineRule="auto"/>
              <w:jc w:val="left"/>
            </w:pPr>
            <w:bookmarkStart w:id="11" w:name="D7_02"/>
            <w:r>
              <w:rPr>
                <w:color w:val="2B2B2B"/>
                <w:sz w:val="19"/>
              </w:rPr>
              <w:t> </w:t>
            </w:r>
            <w:bookmarkEnd w:id="11"/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617E31D">
            <w:pPr>
              <w:spacing w:before="47" w:after="47" w:line="240" w:lineRule="auto"/>
              <w:jc w:val="left"/>
            </w:pPr>
            <w:bookmarkStart w:id="12" w:name="__DOCXFIELD_ac0083b61a0b4816a51e7ac247307f12___01"/>
            <w:r>
              <w:rPr>
                <w:color w:val="2B2B2B"/>
                <w:sz w:val="19"/>
              </w:rPr>
              <w:t> </w:t>
            </w:r>
            <w:bookmarkEnd w:id="12"/>
          </w:p>
        </w:tc>
      </w:tr>
      <w:tr w14:paraId="7EB241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1FF045A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3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38E51E0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场地确定与合同签署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8BCF64A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场地接口人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ABAC270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D15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FAABBA0">
            <w:pPr>
              <w:spacing w:before="47" w:after="47" w:line="240" w:lineRule="auto"/>
              <w:jc w:val="left"/>
            </w:pPr>
            <w:bookmarkStart w:id="13" w:name="D15_01"/>
            <w:r>
              <w:rPr>
                <w:color w:val="2B2B2B"/>
                <w:sz w:val="19"/>
              </w:rPr>
              <w:t> </w:t>
            </w:r>
            <w:bookmarkEnd w:id="13"/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7BC0441">
            <w:pPr>
              <w:spacing w:before="47" w:after="47" w:line="240" w:lineRule="auto"/>
              <w:jc w:val="left"/>
            </w:pPr>
            <w:bookmarkStart w:id="14" w:name="__DOCXFIELD_1587521453a6486786c90fe284dbb963___01"/>
            <w:r>
              <w:rPr>
                <w:color w:val="2B2B2B"/>
                <w:sz w:val="19"/>
              </w:rPr>
              <w:t> </w:t>
            </w:r>
            <w:bookmarkEnd w:id="14"/>
          </w:p>
        </w:tc>
      </w:tr>
      <w:tr w14:paraId="655EBD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50124B5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4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1DA3ACD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场地布置与形象验收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CEF3FB2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场地接口人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60FB7BD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D30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B6A9139">
            <w:pPr>
              <w:spacing w:before="47" w:after="47" w:line="240" w:lineRule="auto"/>
              <w:jc w:val="left"/>
            </w:pPr>
            <w:bookmarkStart w:id="15" w:name="D30_01"/>
            <w:r>
              <w:rPr>
                <w:color w:val="2B2B2B"/>
                <w:sz w:val="19"/>
              </w:rPr>
              <w:t> </w:t>
            </w:r>
            <w:bookmarkEnd w:id="15"/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A743147">
            <w:pPr>
              <w:spacing w:before="47" w:after="47" w:line="240" w:lineRule="auto"/>
              <w:jc w:val="left"/>
            </w:pPr>
            <w:bookmarkStart w:id="16" w:name="__DOCXFIELD_edc97697b8ab41b99786dca1d1c46037___01"/>
            <w:r>
              <w:rPr>
                <w:color w:val="2B2B2B"/>
                <w:sz w:val="19"/>
              </w:rPr>
              <w:t> </w:t>
            </w:r>
            <w:bookmarkEnd w:id="16"/>
          </w:p>
        </w:tc>
      </w:tr>
      <w:tr w14:paraId="7713F6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6200E39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5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2254CC5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执照与经营范围办理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768CA84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资质接口人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0050153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D20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FBDAC8B">
            <w:pPr>
              <w:spacing w:before="47" w:after="47" w:line="240" w:lineRule="auto"/>
              <w:jc w:val="left"/>
            </w:pPr>
            <w:bookmarkStart w:id="17" w:name="D20_01"/>
            <w:r>
              <w:rPr>
                <w:color w:val="2B2B2B"/>
                <w:sz w:val="19"/>
              </w:rPr>
              <w:t> </w:t>
            </w:r>
            <w:bookmarkEnd w:id="17"/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E95BD76">
            <w:pPr>
              <w:spacing w:before="47" w:after="47" w:line="240" w:lineRule="auto"/>
              <w:jc w:val="left"/>
            </w:pPr>
            <w:bookmarkStart w:id="18" w:name="__DOCXFIELD_181a4063475044d7bef07900cda828cc___01"/>
            <w:r>
              <w:rPr>
                <w:color w:val="2B2B2B"/>
                <w:sz w:val="19"/>
              </w:rPr>
              <w:t> </w:t>
            </w:r>
            <w:bookmarkEnd w:id="18"/>
          </w:p>
        </w:tc>
      </w:tr>
      <w:tr w14:paraId="35C07E2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7575C71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6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216922E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人员招聘到位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872115F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人员接口人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6A3EA7F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D30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56F5060">
            <w:pPr>
              <w:spacing w:before="47" w:after="47" w:line="240" w:lineRule="auto"/>
              <w:jc w:val="left"/>
            </w:pPr>
            <w:bookmarkStart w:id="19" w:name="D30_02"/>
            <w:r>
              <w:rPr>
                <w:color w:val="2B2B2B"/>
                <w:sz w:val="19"/>
              </w:rPr>
              <w:t> </w:t>
            </w:r>
            <w:bookmarkEnd w:id="19"/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E7FAAB3">
            <w:pPr>
              <w:spacing w:before="47" w:after="47" w:line="240" w:lineRule="auto"/>
              <w:jc w:val="left"/>
            </w:pPr>
            <w:bookmarkStart w:id="20" w:name="__DOCXFIELD_a2112f242eda49ae9a93f5c2db1dc6f6___01"/>
            <w:r>
              <w:rPr>
                <w:color w:val="2B2B2B"/>
                <w:sz w:val="19"/>
              </w:rPr>
              <w:t> </w:t>
            </w:r>
            <w:bookmarkEnd w:id="20"/>
          </w:p>
        </w:tc>
      </w:tr>
      <w:tr w14:paraId="383E4D5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2838028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7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E0E1CAF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持证调理师落实与核验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7DC49C5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人员接口人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F8006A1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D35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29EC3DA">
            <w:pPr>
              <w:spacing w:before="47" w:after="47" w:line="240" w:lineRule="auto"/>
              <w:jc w:val="left"/>
            </w:pPr>
            <w:bookmarkStart w:id="21" w:name="D35_01"/>
            <w:r>
              <w:rPr>
                <w:color w:val="2B2B2B"/>
                <w:sz w:val="19"/>
              </w:rPr>
              <w:t> </w:t>
            </w:r>
            <w:bookmarkEnd w:id="21"/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513AB3C">
            <w:pPr>
              <w:spacing w:before="47" w:after="47" w:line="240" w:lineRule="auto"/>
              <w:jc w:val="left"/>
            </w:pPr>
            <w:bookmarkStart w:id="22" w:name="__DOCXFIELD_7778b60e8cd24f218043f9fe6262d612___01"/>
            <w:r>
              <w:rPr>
                <w:color w:val="2B2B2B"/>
                <w:sz w:val="19"/>
              </w:rPr>
              <w:t> </w:t>
            </w:r>
            <w:bookmarkEnd w:id="22"/>
          </w:p>
        </w:tc>
      </w:tr>
      <w:tr w14:paraId="222716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FBE645E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8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FD30D52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系统开通与培训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CD27BC4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系统接口人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8466F13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D33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AED99D8">
            <w:pPr>
              <w:spacing w:before="47" w:after="47" w:line="240" w:lineRule="auto"/>
              <w:jc w:val="left"/>
            </w:pPr>
            <w:bookmarkStart w:id="23" w:name="D33_01"/>
            <w:r>
              <w:rPr>
                <w:color w:val="2B2B2B"/>
                <w:sz w:val="19"/>
              </w:rPr>
              <w:t> </w:t>
            </w:r>
            <w:bookmarkEnd w:id="23"/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5AF3DD9">
            <w:pPr>
              <w:spacing w:before="47" w:after="47" w:line="240" w:lineRule="auto"/>
              <w:jc w:val="left"/>
            </w:pPr>
            <w:bookmarkStart w:id="24" w:name="__DOCXFIELD_c25fdbc0e18b4943afd13a1209445674___01"/>
            <w:r>
              <w:rPr>
                <w:color w:val="2B2B2B"/>
                <w:sz w:val="19"/>
              </w:rPr>
              <w:t> </w:t>
            </w:r>
            <w:bookmarkEnd w:id="24"/>
          </w:p>
        </w:tc>
      </w:tr>
      <w:tr w14:paraId="42FA6E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BBEEF0A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9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7BB539C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课程与首批提货导入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B33A6DE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院长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5833501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D35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2EA13FF2">
            <w:pPr>
              <w:spacing w:before="47" w:after="47" w:line="240" w:lineRule="auto"/>
              <w:jc w:val="left"/>
            </w:pPr>
            <w:bookmarkStart w:id="25" w:name="D35_02"/>
            <w:r>
              <w:rPr>
                <w:color w:val="2B2B2B"/>
                <w:sz w:val="19"/>
              </w:rPr>
              <w:t> </w:t>
            </w:r>
            <w:bookmarkEnd w:id="25"/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A4E7CFA">
            <w:pPr>
              <w:spacing w:before="47" w:after="47" w:line="240" w:lineRule="auto"/>
              <w:jc w:val="left"/>
            </w:pPr>
            <w:bookmarkStart w:id="26" w:name="__DOCXFIELD_cc65e5a8c53d426088679afb3b52b9c2___01"/>
            <w:r>
              <w:rPr>
                <w:color w:val="2B2B2B"/>
                <w:sz w:val="19"/>
              </w:rPr>
              <w:t> </w:t>
            </w:r>
            <w:bookmarkEnd w:id="26"/>
          </w:p>
        </w:tc>
      </w:tr>
      <w:tr w14:paraId="208EE42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A10C0A6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10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4FDD32E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开业验收（五通一备案）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C4738EE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院长 / 总院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078672E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D42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59B49C1">
            <w:pPr>
              <w:spacing w:before="47" w:after="47" w:line="240" w:lineRule="auto"/>
              <w:jc w:val="left"/>
            </w:pPr>
            <w:bookmarkStart w:id="27" w:name="D42_01"/>
            <w:r>
              <w:rPr>
                <w:color w:val="2B2B2B"/>
                <w:sz w:val="19"/>
              </w:rPr>
              <w:t> </w:t>
            </w:r>
            <w:bookmarkEnd w:id="27"/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CCCBAA7">
            <w:pPr>
              <w:spacing w:before="47" w:after="47" w:line="240" w:lineRule="auto"/>
              <w:jc w:val="left"/>
            </w:pPr>
            <w:bookmarkStart w:id="28" w:name="__DOCXFIELD_4e307f9e0e0f40b4a7e2864a80a58946___01"/>
            <w:r>
              <w:rPr>
                <w:color w:val="2B2B2B"/>
                <w:sz w:val="19"/>
              </w:rPr>
              <w:t> </w:t>
            </w:r>
            <w:bookmarkEnd w:id="28"/>
          </w:p>
        </w:tc>
      </w:tr>
      <w:tr w14:paraId="633EF2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6E46CE8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11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7BDB440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陪跑排期与首场会议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275A586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院长 / 总院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A841F42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D45</w:t>
            </w:r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74AB6C0">
            <w:pPr>
              <w:spacing w:before="47" w:after="47" w:line="240" w:lineRule="auto"/>
              <w:jc w:val="left"/>
            </w:pPr>
            <w:bookmarkStart w:id="29" w:name="D45_01"/>
            <w:r>
              <w:rPr>
                <w:color w:val="2B2B2B"/>
                <w:sz w:val="19"/>
              </w:rPr>
              <w:t> </w:t>
            </w:r>
            <w:bookmarkEnd w:id="29"/>
          </w:p>
        </w:tc>
        <w:tc>
          <w:tcPr>
            <w:tcW w:w="144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1F48080">
            <w:pPr>
              <w:spacing w:before="47" w:after="47" w:line="240" w:lineRule="auto"/>
              <w:jc w:val="left"/>
            </w:pPr>
            <w:bookmarkStart w:id="30" w:name="__DOCXFIELD_53cef9f86284438a99104284c7defe5a___01"/>
            <w:r>
              <w:rPr>
                <w:color w:val="2B2B2B"/>
                <w:sz w:val="19"/>
              </w:rPr>
              <w:t> </w:t>
            </w:r>
            <w:bookmarkEnd w:id="30"/>
          </w:p>
        </w:tc>
      </w:tr>
    </w:tbl>
    <w:p w14:paraId="3EFCE050">
      <w:pPr>
        <w:pStyle w:val="5"/>
        <w:spacing w:before="312" w:after="130"/>
        <w:jc w:val="left"/>
      </w:pPr>
      <w:r>
        <w:rPr>
          <w:rFonts w:hint="eastAsia" w:ascii="微软雅黑" w:hAnsi="微软雅黑" w:eastAsia="微软雅黑" w:cs="微软雅黑"/>
          <w:b/>
          <w:color w:val="2F7FB5"/>
          <w:sz w:val="26"/>
          <w:lang w:eastAsia="zh-CN"/>
        </w:rPr>
        <w:t>（二）开业验收清单（五通一备案）</w:t>
      </w:r>
    </w:p>
    <w:tbl>
      <w:tblPr>
        <w:tblStyle w:val="32"/>
        <w:tblW w:w="5000" w:type="pct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82"/>
        <w:gridCol w:w="2883"/>
        <w:gridCol w:w="2883"/>
      </w:tblGrid>
      <w:tr w14:paraId="3FB791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DFEDCD6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验收项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0441040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支撑材料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1B4E7A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29CDEE8">
            <w:pPr>
              <w:spacing w:before="47" w:after="47" w:line="240" w:lineRule="auto"/>
              <w:jc w:val="left"/>
            </w:pPr>
            <w:r>
              <w:rPr>
                <w:rFonts w:hint="eastAsia" w:ascii="微软雅黑" w:hAnsi="微软雅黑" w:eastAsia="微软雅黑"/>
                <w:b/>
                <w:color w:val="FFFFFF"/>
                <w:sz w:val="19"/>
              </w:rPr>
              <w:t>结论</w:t>
            </w:r>
          </w:p>
        </w:tc>
      </w:tr>
      <w:tr w14:paraId="2AD897A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924C4F0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场地通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65B5AD0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场地平面图、布置照片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724B39EF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通过  /  整改</w:t>
            </w:r>
          </w:p>
        </w:tc>
      </w:tr>
      <w:tr w14:paraId="4CFC4AE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AF67763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资质通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A375BDC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营业执照副本、备案回执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62CD68B2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通过  /  整改</w:t>
            </w:r>
          </w:p>
        </w:tc>
      </w:tr>
      <w:tr w14:paraId="14881A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378FD88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人员通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A06172F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人员名单、证书复印件、培训记录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8687C20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通过  /  整改</w:t>
            </w:r>
          </w:p>
        </w:tc>
      </w:tr>
      <w:tr w14:paraId="31AFF5B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3AAC358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系统通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0215A85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账号截图、操作培训记录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6EF0F2C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通过  /  整改</w:t>
            </w:r>
          </w:p>
        </w:tc>
      </w:tr>
      <w:tr w14:paraId="21CF957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340087A2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物料通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571A9A65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物料清点表、上墙照片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56E3160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通过  /  整改</w:t>
            </w:r>
          </w:p>
        </w:tc>
      </w:tr>
      <w:tr w14:paraId="486537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435DC10F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一备案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182A2B55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筹建方案、验收材料备案回执</w:t>
            </w:r>
          </w:p>
        </w:tc>
        <w:tc>
          <w:tcPr>
            <w:tcW w:w="2880" w:type="dxa"/>
            <w:tcBorders>
              <w:top w:val="single" w:color="D3E0EA" w:sz="6" w:space="0"/>
              <w:left w:val="single" w:color="D3E0EA" w:sz="6" w:space="0"/>
              <w:bottom w:val="single" w:color="D3E0EA" w:sz="6" w:space="0"/>
              <w:right w:val="single" w:color="D3E0EA" w:sz="6" w:space="0"/>
            </w:tcBorders>
            <w:shd w:val="clear" w:color="auto" w:fill="F2F7FB"/>
            <w:tcMar>
              <w:top w:w="120" w:type="dxa"/>
              <w:left w:w="168" w:type="dxa"/>
              <w:bottom w:w="120" w:type="dxa"/>
              <w:right w:w="168" w:type="dxa"/>
            </w:tcMar>
            <w:vAlign w:val="center"/>
          </w:tcPr>
          <w:p w14:paraId="05F7322A">
            <w:pPr>
              <w:spacing w:before="47" w:after="47" w:line="240" w:lineRule="auto"/>
              <w:jc w:val="left"/>
            </w:pPr>
            <w:r>
              <w:rPr>
                <w:color w:val="2B2B2B"/>
                <w:sz w:val="19"/>
              </w:rPr>
              <w:t>通过  /  整改</w:t>
            </w:r>
          </w:p>
        </w:tc>
      </w:tr>
    </w:tbl>
    <w:p w14:paraId="69F48179">
      <w:pPr>
        <w:spacing w:before="0" w:after="0" w:line="408" w:lineRule="auto"/>
        <w:ind w:firstLine="0"/>
        <w:jc w:val="left"/>
      </w:pPr>
      <w:r>
        <w:rPr>
          <w:rFonts w:hint="eastAsia" w:ascii="微软雅黑" w:hAnsi="微软雅黑" w:eastAsia="微软雅黑" w:cs="微软雅黑"/>
          <w:lang w:eastAsia="zh-CN"/>
        </w:rPr>
        <w:t>附注：本细则为</w:t>
      </w:r>
      <w:r>
        <w:rPr>
          <w:rFonts w:hint="eastAsia" w:cs="微软雅黑"/>
          <w:lang w:eastAsia="zh-CN"/>
        </w:rPr>
        <w:t>城市学院</w:t>
      </w:r>
      <w:r>
        <w:rPr>
          <w:rFonts w:hint="eastAsia" w:ascii="微软雅黑" w:hAnsi="微软雅黑" w:eastAsia="微软雅黑" w:cs="微软雅黑"/>
          <w:lang w:eastAsia="zh-CN"/>
        </w:rPr>
        <w:t>筹建的操作性文件，各</w:t>
      </w:r>
      <w:r>
        <w:rPr>
          <w:rFonts w:hint="eastAsia" w:cs="微软雅黑"/>
          <w:lang w:eastAsia="zh-CN"/>
        </w:rPr>
        <w:t>城市学院</w:t>
      </w:r>
      <w:r>
        <w:rPr>
          <w:rFonts w:hint="eastAsia" w:ascii="微软雅黑" w:hAnsi="微软雅黑" w:eastAsia="微软雅黑" w:cs="微软雅黑"/>
          <w:lang w:eastAsia="zh-CN"/>
        </w:rPr>
        <w:t>应结合属地监管要求编制本院《筹建实施细则》并报总院备案后执行。筹建过程中的关键节点材料，将作为</w:t>
      </w:r>
      <w:r>
        <w:rPr>
          <w:rFonts w:hint="eastAsia" w:cs="微软雅黑"/>
          <w:lang w:eastAsia="zh-CN"/>
        </w:rPr>
        <w:t>城市学院</w:t>
      </w:r>
      <w:r>
        <w:rPr>
          <w:rFonts w:hint="eastAsia" w:ascii="微软雅黑" w:hAnsi="微软雅黑" w:eastAsia="微软雅黑" w:cs="微软雅黑"/>
          <w:lang w:eastAsia="zh-CN"/>
        </w:rPr>
        <w:t>开业验收与后续晋级评审的重要依据。</w:t>
      </w:r>
    </w:p>
    <w:sectPr>
      <w:pgSz w:w="11906" w:h="16838"/>
      <w:pgMar w:top="1440" w:right="1797" w:bottom="1440" w:left="1797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20000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357" w:lineRule="auto"/>
      </w:pPr>
      <w:r>
        <w:separator/>
      </w:r>
    </w:p>
  </w:footnote>
  <w:footnote w:type="continuationSeparator" w:id="1">
    <w:p>
      <w:pPr>
        <w:spacing w:before="0" w:after="0" w:line="357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  <w:num w:numId="7">
    <w:abstractNumId w:val="4"/>
    <w:lvlOverride w:ilvl="0">
      <w:startOverride w:val="1"/>
    </w:lvlOverride>
  </w:num>
  <w:num w:numId="8">
    <w:abstractNumId w:val="4"/>
    <w:lvlOverride w:ilvl="0">
      <w:startOverride w:val="1"/>
    </w:lvlOverride>
  </w:num>
  <w:num w:numId="9">
    <w:abstractNumId w:val="4"/>
    <w:lvlOverride w:ilvl="0">
      <w:startOverride w:val="1"/>
    </w:lvlOverride>
  </w:num>
  <w:num w:numId="10">
    <w:abstractNumId w:val="4"/>
    <w:lvlOverride w:ilvl="0">
      <w:startOverride w:val="1"/>
    </w:lvlOverride>
  </w:num>
  <w:num w:numId="11">
    <w:abstractNumId w:val="4"/>
    <w:lvlOverride w:ilvl="0">
      <w:startOverride w:val="1"/>
    </w:lvlOverride>
  </w:num>
  <w:num w:numId="12">
    <w:abstractNumId w:val="4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20"/>
  <w:characterSpacingControl w:val="doNotCompress"/>
  <w:footnotePr>
    <w:footnote w:id="0"/>
    <w:footnote w:id="1"/>
  </w:footnotePr>
  <w:endnotePr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3A6555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semiHidden="0" w:name="macro"/>
    <w:lsdException w:uiPriority="99" w:name="toa heading"/>
    <w:lsdException w:uiPriority="99" w:semiHidden="0" w:name="List"/>
    <w:lsdException w:uiPriority="99" w:semiHidden="0" w:name="List Bullet"/>
    <w:lsdException w:uiPriority="99" w:semiHidden="0" w:name="List Number"/>
    <w:lsdException w:uiPriority="99" w:semiHidden="0" w:name="List 2"/>
    <w:lsdException w:uiPriority="99" w:semiHidden="0" w:name="List 3"/>
    <w:lsdException w:uiPriority="99" w:name="List 4"/>
    <w:lsdException w:uiPriority="99" w:name="List 5"/>
    <w:lsdException w:uiPriority="99" w:semiHidden="0" w:name="List Bullet 2"/>
    <w:lsdException w:uiPriority="99" w:semiHidden="0" w:name="List Bullet 3"/>
    <w:lsdException w:uiPriority="99" w:name="List Bullet 4"/>
    <w:lsdException w:uiPriority="99" w:name="List Bullet 5"/>
    <w:lsdException w:uiPriority="99" w:semiHidden="0" w:name="List Number 2"/>
    <w:lsdException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semiHidden="0" w:name="Body Text"/>
    <w:lsdException w:uiPriority="99" w:name="Body Text Indent"/>
    <w:lsdException w:uiPriority="99" w:semiHidden="0" w:name="List Continue"/>
    <w:lsdException w:uiPriority="99" w:semiHidden="0" w:name="List Continue 2"/>
    <w:lsdException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semiHidden="0" w:name="Body Text 2"/>
    <w:lsdException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357" w:lineRule="auto"/>
    </w:pPr>
    <w:rPr>
      <w:rFonts w:ascii="微软雅黑" w:hAnsi="微软雅黑" w:eastAsia="微软雅黑" w:cstheme="minorBidi"/>
      <w:color w:val="2B2B2B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uiPriority w:val="1"/>
  </w:style>
  <w:style w:type="table" w:default="1" w:styleId="32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unhideWhenUsed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unhideWhenUsed/>
    <w:uiPriority w:val="99"/>
    <w:pPr>
      <w:spacing w:after="120"/>
    </w:pPr>
  </w:style>
  <w:style w:type="paragraph" w:styleId="20">
    <w:name w:val="List Number 3"/>
    <w:basedOn w:val="1"/>
    <w:unhideWhenUsed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uiPriority w:val="99"/>
    <w:pPr>
      <w:ind w:left="720" w:hanging="360"/>
      <w:contextualSpacing/>
    </w:pPr>
  </w:style>
  <w:style w:type="paragraph" w:styleId="22">
    <w:name w:val="List Continue"/>
    <w:basedOn w:val="1"/>
    <w:unhideWhenUsed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unhideWhenUsed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unhideWhenUsed/>
    <w:uiPriority w:val="99"/>
    <w:pPr>
      <w:spacing w:after="120" w:line="480" w:lineRule="auto"/>
    </w:pPr>
  </w:style>
  <w:style w:type="paragraph" w:styleId="29">
    <w:name w:val="List Continue 2"/>
    <w:basedOn w:val="1"/>
    <w:unhideWhenUsed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unhideWhenUsed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uiPriority w:val="99"/>
  </w:style>
  <w:style w:type="character" w:customStyle="1" w:styleId="136">
    <w:name w:val="Footer Char"/>
    <w:basedOn w:val="132"/>
    <w:link w:val="24"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uiPriority w:val="99"/>
  </w:style>
  <w:style w:type="character" w:customStyle="1" w:styleId="145">
    <w:name w:val="Body Text 2 Char"/>
    <w:basedOn w:val="132"/>
    <w:link w:val="28"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semiHidden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12</Pages>
  <Words>705</Words>
  <Characters>713</Characters>
  <Lines>0</Lines>
  <Paragraphs>0</Paragraphs>
  <TotalTime>25</TotalTime>
  <ScaleCrop>false</ScaleCrop>
  <LinksUpToDate>false</LinksUpToDate>
  <CharactersWithSpaces>732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Administrator</cp:lastModifiedBy>
  <dcterms:modified xsi:type="dcterms:W3CDTF">2026-10-02T07:23:19Z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eyJoZGlkIjoiOWY4YjkzY2JjZWMzMTdhMGYzMmQzYzQwMzQ3M2IxMjgifQ==</vt:lpwstr>
  </property>
  <property fmtid="{D5CDD505-2E9C-101B-9397-08002B2CF9AE}" pid="3" name="KSOProductBuildVer">
    <vt:lpwstr>2052-12.1.0.26895</vt:lpwstr>
  </property>
  <property fmtid="{D5CDD505-2E9C-101B-9397-08002B2CF9AE}" pid="4" name="ICV">
    <vt:lpwstr>990DEE1427414F0E9989BAC5BD315E44_12</vt:lpwstr>
  </property>
</Properties>
</file>